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6A7" w14:textId="683DE194" w:rsidR="000158AA" w:rsidRPr="00FF2949" w:rsidRDefault="00BD6102" w:rsidP="00B24402">
      <w:pPr>
        <w:spacing w:before="240" w:after="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01D8FFE4" wp14:editId="4080DD59">
            <wp:simplePos x="0" y="0"/>
            <wp:positionH relativeFrom="margin">
              <wp:posOffset>4927600</wp:posOffset>
            </wp:positionH>
            <wp:positionV relativeFrom="paragraph">
              <wp:posOffset>-527050</wp:posOffset>
            </wp:positionV>
            <wp:extent cx="2160405" cy="618739"/>
            <wp:effectExtent l="0" t="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05" cy="61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AA" w:rsidRPr="00FF2949">
        <w:rPr>
          <w:b/>
          <w:bCs/>
          <w:color w:val="0000FF"/>
          <w:w w:val="110"/>
          <w:sz w:val="40"/>
          <w:szCs w:val="40"/>
        </w:rPr>
        <w:t>PROGRAM NAME</w:t>
      </w:r>
    </w:p>
    <w:p w14:paraId="6C744834" w14:textId="7D8F702D" w:rsidR="0042162D" w:rsidRPr="00FF2949" w:rsidRDefault="000158AA" w:rsidP="000158AA">
      <w:pPr>
        <w:spacing w:after="0"/>
        <w:jc w:val="center"/>
        <w:rPr>
          <w:color w:val="0000CC"/>
          <w:w w:val="110"/>
          <w:sz w:val="28"/>
          <w:szCs w:val="28"/>
        </w:rPr>
      </w:pPr>
      <w:r w:rsidRPr="00FF2949">
        <w:rPr>
          <w:color w:val="0000CC"/>
          <w:w w:val="110"/>
          <w:sz w:val="28"/>
          <w:szCs w:val="28"/>
        </w:rPr>
        <w:t>Advisory Board</w:t>
      </w:r>
    </w:p>
    <w:p w14:paraId="430B37F5" w14:textId="5CBC0364" w:rsidR="000158AA" w:rsidRPr="00FF2949" w:rsidRDefault="000158AA" w:rsidP="00B24402">
      <w:pPr>
        <w:spacing w:after="120"/>
        <w:jc w:val="center"/>
        <w:rPr>
          <w:color w:val="0000CC"/>
          <w:w w:val="110"/>
          <w:sz w:val="24"/>
          <w:szCs w:val="24"/>
        </w:rPr>
      </w:pPr>
      <w:r w:rsidRPr="00FF2949">
        <w:rPr>
          <w:color w:val="0000CC"/>
          <w:w w:val="110"/>
          <w:sz w:val="24"/>
          <w:szCs w:val="24"/>
        </w:rPr>
        <w:t>Me</w:t>
      </w:r>
      <w:r w:rsidR="00DB3768">
        <w:rPr>
          <w:color w:val="0000CC"/>
          <w:w w:val="110"/>
          <w:sz w:val="24"/>
          <w:szCs w:val="24"/>
        </w:rPr>
        <w:t>eting Agenda &amp; Action Plann</w:t>
      </w:r>
      <w:r w:rsidR="00274E5E">
        <w:rPr>
          <w:color w:val="0000CC"/>
          <w:w w:val="110"/>
          <w:sz w:val="24"/>
          <w:szCs w:val="24"/>
        </w:rPr>
        <w:t>er</w:t>
      </w:r>
    </w:p>
    <w:p w14:paraId="74B0BB1B" w14:textId="45F22BFE" w:rsidR="000158AA" w:rsidRPr="00FF2949" w:rsidRDefault="000158AA" w:rsidP="00652394">
      <w:pPr>
        <w:spacing w:after="400"/>
        <w:jc w:val="center"/>
        <w:rPr>
          <w:b/>
          <w:bCs/>
          <w:color w:val="0000CC"/>
          <w:w w:val="110"/>
          <w:sz w:val="28"/>
          <w:szCs w:val="28"/>
        </w:rPr>
      </w:pPr>
      <w:r w:rsidRPr="00FF2949">
        <w:rPr>
          <w:b/>
          <w:bCs/>
          <w:color w:val="0000CC"/>
          <w:w w:val="110"/>
          <w:sz w:val="28"/>
          <w:szCs w:val="28"/>
        </w:rPr>
        <w:t>Program Year 2022-23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single" w:sz="12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010"/>
      </w:tblGrid>
      <w:tr w:rsidR="00E75327" w:rsidRPr="009B51CC" w14:paraId="6ECAD884" w14:textId="77777777" w:rsidTr="00813747">
        <w:trPr>
          <w:jc w:val="center"/>
        </w:trPr>
        <w:tc>
          <w:tcPr>
            <w:tcW w:w="2700" w:type="dxa"/>
            <w:tcBorders>
              <w:top w:val="single" w:sz="12" w:space="0" w:color="8496B0" w:themeColor="text2" w:themeTint="99"/>
            </w:tcBorders>
            <w:shd w:val="clear" w:color="auto" w:fill="E7E6E6" w:themeFill="background2"/>
          </w:tcPr>
          <w:p w14:paraId="31326D90" w14:textId="05854025" w:rsidR="00E75327" w:rsidRPr="00F17C15" w:rsidRDefault="00274E5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Meeting Date, Time, Location</w:t>
            </w:r>
          </w:p>
        </w:tc>
        <w:tc>
          <w:tcPr>
            <w:tcW w:w="8010" w:type="dxa"/>
            <w:tcBorders>
              <w:top w:val="single" w:sz="12" w:space="0" w:color="8496B0" w:themeColor="text2" w:themeTint="99"/>
            </w:tcBorders>
            <w:vAlign w:val="center"/>
          </w:tcPr>
          <w:p w14:paraId="3F3BA8E3" w14:textId="1DC897D1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0CE003E6" w14:textId="77777777" w:rsidTr="00813747">
        <w:trPr>
          <w:trHeight w:val="864"/>
          <w:jc w:val="center"/>
        </w:trPr>
        <w:tc>
          <w:tcPr>
            <w:tcW w:w="2700" w:type="dxa"/>
            <w:shd w:val="clear" w:color="auto" w:fill="E7E6E6" w:themeFill="background2"/>
          </w:tcPr>
          <w:p w14:paraId="4563FFBD" w14:textId="77777777" w:rsidR="00E75327" w:rsidRDefault="00274E5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Members in Attendance</w:t>
            </w:r>
          </w:p>
          <w:p w14:paraId="32B766BA" w14:textId="2C2B35CD" w:rsidR="005B306E" w:rsidRPr="00F17C15" w:rsidRDefault="005B306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  <w:tc>
          <w:tcPr>
            <w:tcW w:w="8010" w:type="dxa"/>
            <w:vAlign w:val="center"/>
          </w:tcPr>
          <w:p w14:paraId="56D03722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CD1942" w:rsidRPr="009B51CC" w14:paraId="41A7F9CC" w14:textId="77777777" w:rsidTr="00303542">
        <w:trPr>
          <w:trHeight w:val="432"/>
          <w:jc w:val="center"/>
        </w:trPr>
        <w:tc>
          <w:tcPr>
            <w:tcW w:w="2700" w:type="dxa"/>
            <w:shd w:val="clear" w:color="auto" w:fill="E7E6E6" w:themeFill="background2"/>
          </w:tcPr>
          <w:p w14:paraId="0ACEF2FA" w14:textId="690574EB" w:rsidR="00CD1942" w:rsidRPr="00DD1864" w:rsidRDefault="00CD1942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Attendance % </w:t>
            </w:r>
          </w:p>
        </w:tc>
        <w:tc>
          <w:tcPr>
            <w:tcW w:w="8010" w:type="dxa"/>
            <w:vAlign w:val="center"/>
          </w:tcPr>
          <w:p w14:paraId="404C13FF" w14:textId="7026165E" w:rsidR="00CD1942" w:rsidRPr="009B51CC" w:rsidRDefault="00CD1942" w:rsidP="00CD1942">
            <w:pPr>
              <w:spacing w:before="60" w:after="60"/>
              <w:ind w:left="3948"/>
              <w:rPr>
                <w:color w:val="44546A" w:themeColor="text2"/>
                <w:w w:val="11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= </w:t>
            </w:r>
            <w:r w:rsidRPr="00553211">
              <w:rPr>
                <w:b/>
                <w:bCs/>
                <w:color w:val="44546A" w:themeColor="text2"/>
                <w:sz w:val="18"/>
                <w:szCs w:val="18"/>
              </w:rPr>
              <w:t>Present</w:t>
            </w:r>
            <w:r w:rsidRPr="00DD1864">
              <w:rPr>
                <w:color w:val="44546A" w:themeColor="text2"/>
                <w:sz w:val="18"/>
                <w:szCs w:val="18"/>
              </w:rPr>
              <w:t xml:space="preserve"> Members/</w:t>
            </w:r>
            <w:r w:rsidRPr="00553211">
              <w:rPr>
                <w:b/>
                <w:bCs/>
                <w:color w:val="44546A" w:themeColor="text2"/>
                <w:sz w:val="18"/>
                <w:szCs w:val="18"/>
              </w:rPr>
              <w:t>Total</w:t>
            </w:r>
            <w:r w:rsidRPr="00DD1864">
              <w:rPr>
                <w:color w:val="44546A" w:themeColor="text2"/>
                <w:sz w:val="18"/>
                <w:szCs w:val="18"/>
              </w:rPr>
              <w:t xml:space="preserve"> Rostered</w:t>
            </w:r>
            <w:r>
              <w:rPr>
                <w:color w:val="44546A" w:themeColor="text2"/>
                <w:sz w:val="18"/>
                <w:szCs w:val="18"/>
              </w:rPr>
              <w:t xml:space="preserve"> </w:t>
            </w:r>
            <w:r w:rsidRPr="00DD1864">
              <w:rPr>
                <w:color w:val="44546A" w:themeColor="text2"/>
                <w:sz w:val="18"/>
                <w:szCs w:val="18"/>
              </w:rPr>
              <w:t>Members</w:t>
            </w:r>
          </w:p>
        </w:tc>
      </w:tr>
      <w:tr w:rsidR="00DD1864" w:rsidRPr="009B51CC" w14:paraId="6F33D836" w14:textId="77777777" w:rsidTr="00813747">
        <w:trPr>
          <w:trHeight w:val="432"/>
          <w:jc w:val="center"/>
        </w:trPr>
        <w:tc>
          <w:tcPr>
            <w:tcW w:w="2700" w:type="dxa"/>
            <w:shd w:val="clear" w:color="auto" w:fill="E7E6E6" w:themeFill="background2"/>
          </w:tcPr>
          <w:p w14:paraId="3B9CBF2F" w14:textId="4E36DD1D" w:rsidR="00DD1864" w:rsidRDefault="00DD1864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>Guest Attendees, Roles</w:t>
            </w:r>
          </w:p>
        </w:tc>
        <w:tc>
          <w:tcPr>
            <w:tcW w:w="8010" w:type="dxa"/>
            <w:vAlign w:val="center"/>
          </w:tcPr>
          <w:p w14:paraId="075F545B" w14:textId="77777777" w:rsidR="00DD1864" w:rsidRPr="009B51CC" w:rsidRDefault="00DD1864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6A929381" w14:textId="77777777" w:rsidTr="00813747">
        <w:trPr>
          <w:jc w:val="center"/>
        </w:trPr>
        <w:tc>
          <w:tcPr>
            <w:tcW w:w="2700" w:type="dxa"/>
            <w:shd w:val="clear" w:color="auto" w:fill="E7E6E6" w:themeFill="background2"/>
          </w:tcPr>
          <w:p w14:paraId="08B82412" w14:textId="59F702FA" w:rsidR="00E75327" w:rsidRDefault="005B306E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>
              <w:rPr>
                <w:color w:val="44546A" w:themeColor="text2"/>
                <w:w w:val="110"/>
                <w:sz w:val="20"/>
                <w:szCs w:val="20"/>
              </w:rPr>
              <w:t xml:space="preserve">Relevant </w:t>
            </w:r>
            <w:r w:rsidR="00274E5E">
              <w:rPr>
                <w:color w:val="44546A" w:themeColor="text2"/>
                <w:w w:val="110"/>
                <w:sz w:val="20"/>
                <w:szCs w:val="20"/>
              </w:rPr>
              <w:t>Documents</w:t>
            </w:r>
          </w:p>
          <w:p w14:paraId="09023B4A" w14:textId="69535CA7" w:rsidR="005B306E" w:rsidRPr="005B306E" w:rsidRDefault="005B306E" w:rsidP="009B51CC">
            <w:pPr>
              <w:spacing w:before="60" w:after="60"/>
              <w:rPr>
                <w:color w:val="44546A" w:themeColor="text2"/>
                <w:sz w:val="20"/>
                <w:szCs w:val="20"/>
              </w:rPr>
            </w:pPr>
            <w:r w:rsidRPr="005B306E">
              <w:rPr>
                <w:color w:val="44546A" w:themeColor="text2"/>
                <w:sz w:val="18"/>
                <w:szCs w:val="18"/>
              </w:rPr>
              <w:t>Preparatory reading to accompany topic discussions</w:t>
            </w:r>
          </w:p>
        </w:tc>
        <w:tc>
          <w:tcPr>
            <w:tcW w:w="8010" w:type="dxa"/>
            <w:vAlign w:val="center"/>
          </w:tcPr>
          <w:p w14:paraId="3A9112FF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E75327" w:rsidRPr="009B51CC" w14:paraId="31FD44FC" w14:textId="77777777" w:rsidTr="00813747">
        <w:trPr>
          <w:jc w:val="center"/>
        </w:trPr>
        <w:tc>
          <w:tcPr>
            <w:tcW w:w="2700" w:type="dxa"/>
            <w:shd w:val="clear" w:color="auto" w:fill="E7E6E6" w:themeFill="background2"/>
          </w:tcPr>
          <w:p w14:paraId="1431B806" w14:textId="7635E240" w:rsidR="00E75327" w:rsidRPr="00F17C15" w:rsidRDefault="00E75327" w:rsidP="009B51CC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  <w:r w:rsidRPr="00F17C15">
              <w:rPr>
                <w:color w:val="44546A" w:themeColor="text2"/>
                <w:w w:val="110"/>
                <w:sz w:val="20"/>
                <w:szCs w:val="20"/>
              </w:rPr>
              <w:t xml:space="preserve">Link to </w:t>
            </w:r>
            <w:r w:rsidR="00066BF8">
              <w:rPr>
                <w:color w:val="44546A" w:themeColor="text2"/>
                <w:w w:val="110"/>
                <w:sz w:val="20"/>
                <w:szCs w:val="20"/>
              </w:rPr>
              <w:t>Previous</w:t>
            </w:r>
            <w:r w:rsidRPr="00F17C15">
              <w:rPr>
                <w:color w:val="44546A" w:themeColor="text2"/>
                <w:w w:val="110"/>
                <w:sz w:val="20"/>
                <w:szCs w:val="20"/>
              </w:rPr>
              <w:t xml:space="preserve"> Minutes</w:t>
            </w:r>
          </w:p>
        </w:tc>
        <w:tc>
          <w:tcPr>
            <w:tcW w:w="8010" w:type="dxa"/>
            <w:vAlign w:val="center"/>
          </w:tcPr>
          <w:p w14:paraId="4B8E6D20" w14:textId="77777777" w:rsidR="00E75327" w:rsidRPr="009B51CC" w:rsidRDefault="00E75327" w:rsidP="00E75327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768E8656" w14:textId="77777777" w:rsidR="00D7721A" w:rsidRPr="00553211" w:rsidRDefault="00D7721A" w:rsidP="00F17C15">
      <w:pPr>
        <w:spacing w:after="0"/>
        <w:jc w:val="center"/>
        <w:rPr>
          <w:color w:val="0000CC"/>
          <w:w w:val="11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365"/>
      </w:tblGrid>
      <w:tr w:rsidR="00813747" w:rsidRPr="00813747" w14:paraId="15E5EF82" w14:textId="77777777" w:rsidTr="00553211">
        <w:trPr>
          <w:trHeight w:val="3024"/>
        </w:trPr>
        <w:tc>
          <w:tcPr>
            <w:tcW w:w="3240" w:type="dxa"/>
            <w:tcBorders>
              <w:right w:val="single" w:sz="12" w:space="0" w:color="8496B0" w:themeColor="text2" w:themeTint="99"/>
            </w:tcBorders>
            <w:shd w:val="clear" w:color="auto" w:fill="auto"/>
          </w:tcPr>
          <w:p w14:paraId="34D08A0B" w14:textId="3EAA85E2" w:rsidR="00813747" w:rsidRPr="008E6CDA" w:rsidRDefault="001D2024" w:rsidP="001D2024">
            <w:pPr>
              <w:spacing w:before="60" w:after="60"/>
              <w:rPr>
                <w:b/>
                <w:bCs/>
                <w:color w:val="0000CC"/>
                <w:w w:val="110"/>
                <w:sz w:val="28"/>
                <w:szCs w:val="28"/>
              </w:rPr>
            </w:pP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Vision </w:t>
            </w:r>
            <w:r w:rsidRPr="008E6CDA">
              <w:rPr>
                <w:color w:val="0000CC"/>
                <w:w w:val="110"/>
              </w:rPr>
              <w:t>&amp;</w:t>
            </w: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 Purpose Statement</w:t>
            </w:r>
          </w:p>
          <w:p w14:paraId="45FD2845" w14:textId="2693997A" w:rsidR="00553211" w:rsidRPr="00553211" w:rsidRDefault="001D2024" w:rsidP="00553211">
            <w:pPr>
              <w:spacing w:before="60" w:after="60"/>
              <w:ind w:right="250"/>
              <w:rPr>
                <w:color w:val="44546A" w:themeColor="text2"/>
                <w:sz w:val="18"/>
                <w:szCs w:val="18"/>
              </w:rPr>
            </w:pPr>
            <w:r w:rsidRPr="001D2024">
              <w:rPr>
                <w:color w:val="44546A" w:themeColor="text2"/>
                <w:sz w:val="18"/>
                <w:szCs w:val="18"/>
              </w:rPr>
              <w:t>Restated from founding doc</w:t>
            </w:r>
            <w:r w:rsidR="00553211">
              <w:rPr>
                <w:color w:val="44546A" w:themeColor="text2"/>
                <w:sz w:val="18"/>
                <w:szCs w:val="18"/>
              </w:rPr>
              <w:t>ument.</w:t>
            </w:r>
            <w:r w:rsidRPr="001D2024">
              <w:rPr>
                <w:color w:val="44546A" w:themeColor="text2"/>
                <w:sz w:val="18"/>
                <w:szCs w:val="18"/>
              </w:rPr>
              <w:t xml:space="preserve"> </w:t>
            </w:r>
            <w:r w:rsidR="00553211">
              <w:rPr>
                <w:color w:val="44546A" w:themeColor="text2"/>
                <w:sz w:val="18"/>
                <w:szCs w:val="18"/>
              </w:rPr>
              <w:t>U</w:t>
            </w:r>
            <w:r w:rsidRPr="001D2024">
              <w:rPr>
                <w:color w:val="44546A" w:themeColor="text2"/>
                <w:sz w:val="18"/>
                <w:szCs w:val="18"/>
              </w:rPr>
              <w:t>sed to reconnect members to the group’s overarching function</w:t>
            </w:r>
            <w:r w:rsidR="00553211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7365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1BFEB802" w14:textId="75ADD96E" w:rsidR="00553211" w:rsidRPr="00813747" w:rsidRDefault="00553211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8E6CDA" w:rsidRPr="00813747" w14:paraId="7B1329C8" w14:textId="77777777" w:rsidTr="00553211">
        <w:tc>
          <w:tcPr>
            <w:tcW w:w="3240" w:type="dxa"/>
          </w:tcPr>
          <w:p w14:paraId="39848DAF" w14:textId="77777777" w:rsidR="008E6CDA" w:rsidRPr="001D2024" w:rsidRDefault="008E6CDA" w:rsidP="001D2024">
            <w:pPr>
              <w:spacing w:before="60" w:after="60"/>
              <w:rPr>
                <w:color w:val="44546A" w:themeColor="text2"/>
                <w:w w:val="110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2D3C3D94" w14:textId="77777777" w:rsidR="008E6CDA" w:rsidRPr="00813747" w:rsidRDefault="008E6CDA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  <w:tr w:rsidR="00813747" w:rsidRPr="00813747" w14:paraId="792483AC" w14:textId="77777777" w:rsidTr="00553211">
        <w:trPr>
          <w:trHeight w:val="3024"/>
        </w:trPr>
        <w:tc>
          <w:tcPr>
            <w:tcW w:w="3240" w:type="dxa"/>
            <w:tcBorders>
              <w:right w:val="single" w:sz="12" w:space="0" w:color="8496B0" w:themeColor="text2" w:themeTint="99"/>
            </w:tcBorders>
            <w:shd w:val="clear" w:color="auto" w:fill="auto"/>
          </w:tcPr>
          <w:p w14:paraId="5AE37204" w14:textId="77777777" w:rsidR="008E6CDA" w:rsidRPr="008E6CDA" w:rsidRDefault="001D2024" w:rsidP="008E6CDA">
            <w:pPr>
              <w:spacing w:before="60"/>
              <w:rPr>
                <w:b/>
                <w:bCs/>
                <w:color w:val="0000CC"/>
                <w:w w:val="110"/>
                <w:sz w:val="28"/>
                <w:szCs w:val="28"/>
              </w:rPr>
            </w:pPr>
            <w:r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>Focusing Goals</w:t>
            </w:r>
            <w:r w:rsidR="008E6CDA" w:rsidRPr="008E6CDA">
              <w:rPr>
                <w:b/>
                <w:bCs/>
                <w:color w:val="0000CC"/>
                <w:w w:val="110"/>
                <w:sz w:val="28"/>
                <w:szCs w:val="28"/>
              </w:rPr>
              <w:t xml:space="preserve"> </w:t>
            </w:r>
          </w:p>
          <w:p w14:paraId="2982931A" w14:textId="04A22148" w:rsidR="00813747" w:rsidRPr="008E6CDA" w:rsidRDefault="008E6CDA" w:rsidP="008E6CDA">
            <w:pPr>
              <w:spacing w:after="60"/>
              <w:rPr>
                <w:color w:val="0000CC"/>
                <w:w w:val="110"/>
              </w:rPr>
            </w:pPr>
            <w:r w:rsidRPr="008E6CDA">
              <w:rPr>
                <w:color w:val="0000CC"/>
                <w:w w:val="110"/>
              </w:rPr>
              <w:t>for this Meeting</w:t>
            </w:r>
          </w:p>
          <w:p w14:paraId="31220C58" w14:textId="2660AD37" w:rsidR="001D2024" w:rsidRPr="001D2024" w:rsidRDefault="001D2024" w:rsidP="001D2024">
            <w:pPr>
              <w:spacing w:before="60" w:after="60"/>
              <w:rPr>
                <w:color w:val="44546A" w:themeColor="text2"/>
                <w:sz w:val="20"/>
                <w:szCs w:val="20"/>
              </w:rPr>
            </w:pPr>
            <w:r w:rsidRPr="001D2024">
              <w:rPr>
                <w:color w:val="44546A" w:themeColor="text2"/>
                <w:sz w:val="18"/>
                <w:szCs w:val="18"/>
              </w:rPr>
              <w:t>What does the group hope to</w:t>
            </w:r>
            <w:r>
              <w:rPr>
                <w:color w:val="44546A" w:themeColor="text2"/>
                <w:sz w:val="18"/>
                <w:szCs w:val="18"/>
              </w:rPr>
              <w:t xml:space="preserve"> accomplish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 this session? 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These are the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Big </w:t>
            </w:r>
            <w:r w:rsidR="00553211">
              <w:rPr>
                <w:color w:val="44546A" w:themeColor="text2"/>
                <w:sz w:val="18"/>
                <w:szCs w:val="18"/>
              </w:rPr>
              <w:t>I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deas to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help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frame </w:t>
            </w:r>
            <w:r w:rsidR="00553211">
              <w:rPr>
                <w:color w:val="44546A" w:themeColor="text2"/>
                <w:sz w:val="18"/>
                <w:szCs w:val="18"/>
              </w:rPr>
              <w:t xml:space="preserve">the scope of work </w:t>
            </w:r>
            <w:r w:rsidR="008E6CDA">
              <w:rPr>
                <w:color w:val="44546A" w:themeColor="text2"/>
                <w:sz w:val="18"/>
                <w:szCs w:val="18"/>
              </w:rPr>
              <w:t xml:space="preserve">and prime </w:t>
            </w:r>
            <w:r w:rsidR="00553211">
              <w:rPr>
                <w:color w:val="44546A" w:themeColor="text2"/>
                <w:sz w:val="18"/>
                <w:szCs w:val="18"/>
              </w:rPr>
              <w:t>members to focus on those tasks</w:t>
            </w:r>
            <w:r w:rsidR="008E6CDA">
              <w:rPr>
                <w:color w:val="44546A" w:themeColor="text2"/>
                <w:sz w:val="18"/>
                <w:szCs w:val="18"/>
              </w:rPr>
              <w:t>.</w:t>
            </w:r>
          </w:p>
        </w:tc>
        <w:tc>
          <w:tcPr>
            <w:tcW w:w="7365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24055B4" w14:textId="77777777" w:rsidR="00813747" w:rsidRPr="00813747" w:rsidRDefault="00813747" w:rsidP="001D2024">
            <w:pPr>
              <w:spacing w:before="60" w:after="60"/>
              <w:rPr>
                <w:color w:val="44546A" w:themeColor="text2"/>
                <w:w w:val="110"/>
              </w:rPr>
            </w:pPr>
          </w:p>
        </w:tc>
      </w:tr>
    </w:tbl>
    <w:p w14:paraId="6DBF1F71" w14:textId="15FCCA58" w:rsidR="00B24402" w:rsidRDefault="00B24402" w:rsidP="002E43DF">
      <w:pPr>
        <w:spacing w:after="240"/>
        <w:jc w:val="center"/>
        <w:rPr>
          <w:b/>
          <w:bCs/>
          <w:color w:val="0000CC"/>
          <w:w w:val="110"/>
          <w:sz w:val="36"/>
          <w:szCs w:val="36"/>
        </w:rPr>
      </w:pPr>
    </w:p>
    <w:p w14:paraId="103B4AB0" w14:textId="77777777" w:rsidR="00813747" w:rsidRDefault="00813747">
      <w:pPr>
        <w:rPr>
          <w:b/>
          <w:bCs/>
          <w:color w:val="0000CC"/>
          <w:w w:val="110"/>
          <w:sz w:val="28"/>
          <w:szCs w:val="28"/>
        </w:rPr>
      </w:pPr>
      <w:r>
        <w:rPr>
          <w:b/>
          <w:bCs/>
          <w:color w:val="0000CC"/>
          <w:w w:val="110"/>
          <w:sz w:val="28"/>
          <w:szCs w:val="28"/>
        </w:rPr>
        <w:br w:type="page"/>
      </w:r>
    </w:p>
    <w:p w14:paraId="20D6B327" w14:textId="404683B7" w:rsidR="0038067B" w:rsidRPr="00D6277E" w:rsidRDefault="003423E1" w:rsidP="00071F3A">
      <w:pPr>
        <w:widowControl w:val="0"/>
        <w:autoSpaceDE w:val="0"/>
        <w:autoSpaceDN w:val="0"/>
        <w:spacing w:before="360" w:after="120"/>
        <w:ind w:left="360" w:right="360"/>
        <w:jc w:val="center"/>
        <w:rPr>
          <w:rFonts w:ascii="Avenir Next LT Pro" w:eastAsia="Calibri" w:hAnsi="Avenir Next LT Pro" w:cs="Segoe UI Semilight"/>
          <w:b/>
          <w:bCs/>
          <w:color w:val="0000CC"/>
          <w:sz w:val="28"/>
          <w:szCs w:val="28"/>
          <w:lang w:bidi="en-US"/>
        </w:rPr>
      </w:pPr>
      <w:bookmarkStart w:id="0" w:name="_Hlk109494918"/>
      <w:r w:rsidRPr="00D6277E">
        <w:rPr>
          <w:b/>
          <w:bCs/>
          <w:color w:val="0000CC"/>
          <w:w w:val="110"/>
          <w:sz w:val="36"/>
          <w:szCs w:val="36"/>
        </w:rPr>
        <w:lastRenderedPageBreak/>
        <w:t>Agenda</w:t>
      </w: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single" w:sz="8" w:space="0" w:color="8496B0" w:themeColor="text2" w:themeTint="99"/>
          <w:right w:val="none" w:sz="0" w:space="0" w:color="auto"/>
          <w:insideH w:val="single" w:sz="8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710"/>
        <w:gridCol w:w="2340"/>
        <w:gridCol w:w="6210"/>
      </w:tblGrid>
      <w:tr w:rsidR="008D7C3F" w:rsidRPr="003423E1" w14:paraId="626FB7CB" w14:textId="77777777" w:rsidTr="008D7C3F">
        <w:trPr>
          <w:jc w:val="center"/>
        </w:trPr>
        <w:tc>
          <w:tcPr>
            <w:tcW w:w="900" w:type="dxa"/>
          </w:tcPr>
          <w:bookmarkEnd w:id="0"/>
          <w:p w14:paraId="6D72784C" w14:textId="0A36682E" w:rsidR="003423E1" w:rsidRPr="00A31B9F" w:rsidRDefault="003423E1" w:rsidP="00A31B9F">
            <w:pPr>
              <w:widowControl w:val="0"/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Item </w:t>
            </w:r>
            <w:r w:rsidRPr="004B733D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#</w:t>
            </w:r>
          </w:p>
        </w:tc>
        <w:tc>
          <w:tcPr>
            <w:tcW w:w="1710" w:type="dxa"/>
          </w:tcPr>
          <w:p w14:paraId="34DA3156" w14:textId="7588044E" w:rsidR="003423E1" w:rsidRPr="00A31B9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Time Window</w:t>
            </w:r>
          </w:p>
        </w:tc>
        <w:tc>
          <w:tcPr>
            <w:tcW w:w="2340" w:type="dxa"/>
          </w:tcPr>
          <w:p w14:paraId="5B7DE2A2" w14:textId="62ABEB54" w:rsidR="003423E1" w:rsidRPr="00A31B9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 w:rsidRP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Topic Title</w:t>
            </w:r>
            <w:r w:rsidR="00A31B9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 </w:t>
            </w:r>
            <w:r w:rsidR="00A31B9F" w:rsidRPr="008D7C3F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- Presenter</w:t>
            </w:r>
          </w:p>
        </w:tc>
        <w:tc>
          <w:tcPr>
            <w:tcW w:w="6210" w:type="dxa"/>
          </w:tcPr>
          <w:p w14:paraId="076C57C4" w14:textId="332A2FA5" w:rsidR="003423E1" w:rsidRPr="00A31B9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>Notes</w:t>
            </w:r>
          </w:p>
        </w:tc>
      </w:tr>
      <w:tr w:rsidR="008D7C3F" w:rsidRPr="003423E1" w14:paraId="47F3AE91" w14:textId="77777777" w:rsidTr="008D7C3F">
        <w:trPr>
          <w:jc w:val="center"/>
        </w:trPr>
        <w:tc>
          <w:tcPr>
            <w:tcW w:w="900" w:type="dxa"/>
            <w:shd w:val="clear" w:color="auto" w:fill="E7E6E6" w:themeFill="background2"/>
          </w:tcPr>
          <w:p w14:paraId="72EACC6C" w14:textId="45C8CD6E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1</w:t>
            </w:r>
          </w:p>
        </w:tc>
        <w:tc>
          <w:tcPr>
            <w:tcW w:w="1710" w:type="dxa"/>
            <w:shd w:val="clear" w:color="auto" w:fill="E7E6E6" w:themeFill="background2"/>
          </w:tcPr>
          <w:p w14:paraId="6876CA80" w14:textId="5CF99707" w:rsidR="003423E1" w:rsidRPr="008D7C3F" w:rsidRDefault="00A31B9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sz w:val="20"/>
                <w:szCs w:val="20"/>
                <w:lang w:bidi="en-US"/>
              </w:rPr>
              <w:t>Start – End</w:t>
            </w:r>
          </w:p>
        </w:tc>
        <w:tc>
          <w:tcPr>
            <w:tcW w:w="2340" w:type="dxa"/>
            <w:shd w:val="clear" w:color="auto" w:fill="E7E6E6" w:themeFill="background2"/>
          </w:tcPr>
          <w:p w14:paraId="34B137BB" w14:textId="67D2E65F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Call to Order &amp; Review Norms</w:t>
            </w:r>
            <w:r w:rsidR="00A31B9F" w:rsidRPr="008D7C3F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 xml:space="preserve"> </w:t>
            </w:r>
            <w:r w:rsidR="00A31B9F" w:rsidRPr="008D7C3F"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– [Board Chair]</w:t>
            </w:r>
          </w:p>
        </w:tc>
        <w:tc>
          <w:tcPr>
            <w:tcW w:w="6210" w:type="dxa"/>
          </w:tcPr>
          <w:p w14:paraId="0DB3DB60" w14:textId="16094132" w:rsidR="004B733D" w:rsidRPr="00D6277E" w:rsidRDefault="004B733D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Introductions, welcoming of guests</w:t>
            </w:r>
            <w:r w:rsidR="008D7C3F"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, o</w:t>
            </w: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verview of agenda</w:t>
            </w:r>
            <w:r w:rsidR="008D7C3F"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, refresh norms for engagement…</w:t>
            </w:r>
          </w:p>
        </w:tc>
      </w:tr>
      <w:tr w:rsidR="008D7C3F" w:rsidRPr="003423E1" w14:paraId="5D4CFD8F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6A7CCF75" w14:textId="27F42F74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2</w:t>
            </w:r>
          </w:p>
        </w:tc>
        <w:tc>
          <w:tcPr>
            <w:tcW w:w="1710" w:type="dxa"/>
            <w:shd w:val="clear" w:color="auto" w:fill="E7E6E6" w:themeFill="background2"/>
          </w:tcPr>
          <w:p w14:paraId="26E8AB0B" w14:textId="21302F64" w:rsidR="003423E1" w:rsidRPr="008D7C3F" w:rsidRDefault="00A05F35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8D7C3F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44546A" w:themeColor="text2"/>
                <w:sz w:val="20"/>
                <w:szCs w:val="20"/>
                <w:lang w:bidi="en-US"/>
              </w:rPr>
              <w:t>Start – End</w:t>
            </w:r>
          </w:p>
        </w:tc>
        <w:tc>
          <w:tcPr>
            <w:tcW w:w="2340" w:type="dxa"/>
            <w:shd w:val="clear" w:color="auto" w:fill="E7E6E6" w:themeFill="background2"/>
          </w:tcPr>
          <w:p w14:paraId="2F6C42FF" w14:textId="2CC3613D" w:rsidR="003423E1" w:rsidRDefault="00A05F35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 xml:space="preserve">Core </w:t>
            </w:r>
            <w:r w:rsidR="00272BC0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Member Updates</w:t>
            </w:r>
          </w:p>
          <w:p w14:paraId="33BB7A56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Program Director</w:t>
            </w:r>
          </w:p>
          <w:p w14:paraId="2F8BDF8C" w14:textId="301573F4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Fiscal Manager</w:t>
            </w:r>
          </w:p>
          <w:p w14:paraId="294183BC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Data Manager</w:t>
            </w:r>
          </w:p>
          <w:p w14:paraId="1C3FCD24" w14:textId="77777777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Education Liaison</w:t>
            </w:r>
          </w:p>
          <w:p w14:paraId="512FB317" w14:textId="4DCE7E85" w:rsidR="00272BC0" w:rsidRPr="00272BC0" w:rsidRDefault="00272BC0" w:rsidP="00272BC0">
            <w:pPr>
              <w:widowControl w:val="0"/>
              <w:tabs>
                <w:tab w:val="left" w:pos="540"/>
              </w:tabs>
              <w:autoSpaceDE w:val="0"/>
              <w:autoSpaceDN w:val="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  <w:r w:rsidRPr="00272BC0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Local Evaluator</w:t>
            </w:r>
          </w:p>
        </w:tc>
        <w:tc>
          <w:tcPr>
            <w:tcW w:w="6210" w:type="dxa"/>
          </w:tcPr>
          <w:p w14:paraId="2DF64F4D" w14:textId="1B3AE2AD" w:rsidR="003423E1" w:rsidRPr="00A05F35" w:rsidRDefault="00272BC0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A05F35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Standing item for the review and documentation of progress updates regarding administrative functions</w:t>
            </w:r>
          </w:p>
        </w:tc>
      </w:tr>
      <w:tr w:rsidR="008D7C3F" w:rsidRPr="003423E1" w14:paraId="58B61B3C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6DA846D1" w14:textId="5DCD405E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3</w:t>
            </w:r>
          </w:p>
        </w:tc>
        <w:tc>
          <w:tcPr>
            <w:tcW w:w="1710" w:type="dxa"/>
            <w:shd w:val="clear" w:color="auto" w:fill="E7E6E6" w:themeFill="background2"/>
          </w:tcPr>
          <w:p w14:paraId="7D4F73E3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BB1A108" w14:textId="46F698C4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187B9955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396BF2BD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5D3F9FF7" w14:textId="262B3E13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4</w:t>
            </w:r>
          </w:p>
        </w:tc>
        <w:tc>
          <w:tcPr>
            <w:tcW w:w="1710" w:type="dxa"/>
            <w:shd w:val="clear" w:color="auto" w:fill="E7E6E6" w:themeFill="background2"/>
          </w:tcPr>
          <w:p w14:paraId="4C52255B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CE8B865" w14:textId="6C1DBFC0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36F6E996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78A4E77D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7D4C0EEE" w14:textId="63F93644" w:rsidR="003423E1" w:rsidRPr="003423E1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5</w:t>
            </w:r>
          </w:p>
        </w:tc>
        <w:tc>
          <w:tcPr>
            <w:tcW w:w="1710" w:type="dxa"/>
            <w:shd w:val="clear" w:color="auto" w:fill="E7E6E6" w:themeFill="background2"/>
          </w:tcPr>
          <w:p w14:paraId="0F6DDD93" w14:textId="77777777" w:rsidR="003423E1" w:rsidRPr="008D7C3F" w:rsidRDefault="003423E1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69E5AB3B" w14:textId="066FF099" w:rsidR="003423E1" w:rsidRPr="008D7C3F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6210" w:type="dxa"/>
          </w:tcPr>
          <w:p w14:paraId="2AE6F07E" w14:textId="77777777" w:rsidR="003423E1" w:rsidRPr="00D6277E" w:rsidRDefault="003423E1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</w:pPr>
          </w:p>
        </w:tc>
      </w:tr>
      <w:tr w:rsidR="008D7C3F" w:rsidRPr="003423E1" w14:paraId="1D0871F2" w14:textId="77777777" w:rsidTr="00D6277E">
        <w:trPr>
          <w:trHeight w:val="2160"/>
          <w:jc w:val="center"/>
        </w:trPr>
        <w:tc>
          <w:tcPr>
            <w:tcW w:w="900" w:type="dxa"/>
            <w:shd w:val="clear" w:color="auto" w:fill="E7E6E6" w:themeFill="background2"/>
          </w:tcPr>
          <w:p w14:paraId="03D81880" w14:textId="68081BEA" w:rsidR="008D7C3F" w:rsidRDefault="008D7C3F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6</w:t>
            </w:r>
          </w:p>
        </w:tc>
        <w:tc>
          <w:tcPr>
            <w:tcW w:w="1710" w:type="dxa"/>
            <w:shd w:val="clear" w:color="auto" w:fill="E7E6E6" w:themeFill="background2"/>
          </w:tcPr>
          <w:p w14:paraId="14309BA1" w14:textId="77777777" w:rsidR="008D7C3F" w:rsidRPr="008D7C3F" w:rsidRDefault="008D7C3F" w:rsidP="00A31B9F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27CF1AA6" w14:textId="1DE74C84" w:rsidR="008D7C3F" w:rsidRPr="00D6277E" w:rsidRDefault="00D6277E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Closing Remarks &amp; Action Planning</w:t>
            </w: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 xml:space="preserve"> – [Board Chair]</w:t>
            </w:r>
          </w:p>
        </w:tc>
        <w:tc>
          <w:tcPr>
            <w:tcW w:w="6210" w:type="dxa"/>
          </w:tcPr>
          <w:p w14:paraId="4F3E1DC2" w14:textId="2C7ABEB2" w:rsidR="008D7C3F" w:rsidRPr="00D6277E" w:rsidRDefault="00D6277E" w:rsidP="003423E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</w:pP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 xml:space="preserve">See </w:t>
            </w:r>
            <w:r w:rsidRPr="000D6436">
              <w:rPr>
                <w:rFonts w:ascii="Avenir Next LT Pro" w:eastAsia="Calibri" w:hAnsi="Avenir Next LT Pro" w:cs="Segoe UI Semilight"/>
                <w:b/>
                <w:bCs/>
                <w:i/>
                <w:iCs/>
                <w:color w:val="0000CC"/>
                <w:sz w:val="20"/>
                <w:szCs w:val="20"/>
                <w:lang w:bidi="en-US"/>
              </w:rPr>
              <w:t>Action Planner</w:t>
            </w:r>
            <w:r w:rsidRPr="000D6436">
              <w:rPr>
                <w:rFonts w:ascii="Avenir Next LT Pro" w:eastAsia="Calibri" w:hAnsi="Avenir Next LT Pro" w:cs="Segoe UI Semilight"/>
                <w:i/>
                <w:iCs/>
                <w:color w:val="0000CC"/>
                <w:sz w:val="20"/>
                <w:szCs w:val="20"/>
                <w:lang w:bidi="en-US"/>
              </w:rPr>
              <w:t xml:space="preserve"> </w:t>
            </w:r>
            <w:r w:rsidRPr="00D6277E">
              <w:rPr>
                <w:rFonts w:ascii="Avenir Next LT Pro" w:eastAsia="Calibri" w:hAnsi="Avenir Next LT Pro" w:cs="Segoe UI Semilight"/>
                <w:i/>
                <w:iCs/>
                <w:color w:val="44546A" w:themeColor="text2"/>
                <w:sz w:val="20"/>
                <w:szCs w:val="20"/>
                <w:lang w:bidi="en-US"/>
              </w:rPr>
              <w:t>template for suggestions</w:t>
            </w:r>
          </w:p>
        </w:tc>
      </w:tr>
    </w:tbl>
    <w:p w14:paraId="4AD2E93E" w14:textId="6F0A294D" w:rsidR="00D6277E" w:rsidRDefault="00D6277E" w:rsidP="001017C6">
      <w:pPr>
        <w:widowControl w:val="0"/>
        <w:tabs>
          <w:tab w:val="left" w:pos="540"/>
        </w:tabs>
        <w:autoSpaceDE w:val="0"/>
        <w:autoSpaceDN w:val="0"/>
        <w:spacing w:before="120" w:after="120"/>
        <w:ind w:left="720"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</w:p>
    <w:p w14:paraId="73DF67E7" w14:textId="77777777" w:rsidR="00D6277E" w:rsidRDefault="00D6277E">
      <w:pPr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rFonts w:ascii="Avenir Next LT Pro" w:eastAsia="Calibri" w:hAnsi="Avenir Next LT Pro" w:cs="Segoe UI Semilight"/>
          <w:color w:val="44546A" w:themeColor="text2"/>
          <w:lang w:bidi="en-US"/>
        </w:rPr>
        <w:br w:type="page"/>
      </w:r>
    </w:p>
    <w:p w14:paraId="1089A5D0" w14:textId="6AFF79AF" w:rsidR="005467F5" w:rsidRPr="000C0885" w:rsidRDefault="00D6277E" w:rsidP="000C0885">
      <w:pPr>
        <w:widowControl w:val="0"/>
        <w:autoSpaceDE w:val="0"/>
        <w:autoSpaceDN w:val="0"/>
        <w:spacing w:after="120" w:line="240" w:lineRule="auto"/>
        <w:ind w:left="360" w:right="360"/>
        <w:jc w:val="center"/>
        <w:rPr>
          <w:b/>
          <w:bCs/>
          <w:color w:val="0000CC"/>
          <w:w w:val="110"/>
          <w:sz w:val="36"/>
          <w:szCs w:val="36"/>
        </w:rPr>
      </w:pPr>
      <w:r w:rsidRPr="00D6277E">
        <w:rPr>
          <w:b/>
          <w:bCs/>
          <w:color w:val="0000CC"/>
          <w:w w:val="110"/>
          <w:sz w:val="36"/>
          <w:szCs w:val="36"/>
        </w:rPr>
        <w:lastRenderedPageBreak/>
        <w:t>A</w:t>
      </w:r>
      <w:r>
        <w:rPr>
          <w:b/>
          <w:bCs/>
          <w:color w:val="0000CC"/>
          <w:w w:val="110"/>
          <w:sz w:val="36"/>
          <w:szCs w:val="36"/>
        </w:rPr>
        <w:t>ction Planner</w:t>
      </w:r>
    </w:p>
    <w:tbl>
      <w:tblPr>
        <w:tblStyle w:val="TableGridLight"/>
        <w:tblpPr w:leftFromText="180" w:rightFromText="180" w:vertAnchor="page" w:horzAnchor="margin" w:tblpY="7351"/>
        <w:tblW w:w="0" w:type="auto"/>
        <w:tblLook w:val="04A0" w:firstRow="1" w:lastRow="0" w:firstColumn="1" w:lastColumn="0" w:noHBand="0" w:noVBand="1"/>
      </w:tblPr>
      <w:tblGrid>
        <w:gridCol w:w="900"/>
        <w:gridCol w:w="4500"/>
        <w:gridCol w:w="2895"/>
        <w:gridCol w:w="2055"/>
      </w:tblGrid>
      <w:tr w:rsidR="00225B21" w:rsidRPr="00D6277E" w14:paraId="39B69197" w14:textId="77777777" w:rsidTr="00A407C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C33DAF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AD5555" w14:textId="1455B9BD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Action Commitment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4EAF4E6F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Action Agent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3660C6C7" w14:textId="77777777" w:rsidR="00225B21" w:rsidRPr="007571DB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jc w:val="center"/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</w:pPr>
            <w:r w:rsidRPr="007571DB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lang w:bidi="en-US"/>
              </w:rPr>
              <w:t>Timeframe</w:t>
            </w:r>
          </w:p>
        </w:tc>
      </w:tr>
      <w:tr w:rsidR="00225B21" w:rsidRPr="00D6277E" w14:paraId="0C2BD327" w14:textId="77777777" w:rsidTr="00A407C0">
        <w:tc>
          <w:tcPr>
            <w:tcW w:w="900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  <w:vAlign w:val="bottom"/>
          </w:tcPr>
          <w:p w14:paraId="52BF45D1" w14:textId="6FBCC6B9" w:rsidR="00225B21" w:rsidRPr="00B81D82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FA12A3">
              <w:rPr>
                <w:rFonts w:ascii="Avenir Next LT Pro" w:eastAsia="Calibri" w:hAnsi="Avenir Next LT Pro" w:cs="Segoe UI Semilight"/>
                <w:b/>
                <w:bCs/>
                <w:color w:val="44546A" w:themeColor="text2"/>
                <w:sz w:val="20"/>
                <w:szCs w:val="20"/>
                <w:lang w:bidi="en-US"/>
              </w:rPr>
              <w:t xml:space="preserve">Item </w:t>
            </w:r>
            <w:r w:rsidRPr="00FA12A3">
              <w:rPr>
                <w:rFonts w:ascii="Avenir Next LT Pro" w:eastAsia="Calibri" w:hAnsi="Avenir Next LT Pro" w:cs="Segoe UI Semilight"/>
                <w:color w:val="44546A" w:themeColor="text2"/>
                <w:sz w:val="20"/>
                <w:szCs w:val="20"/>
                <w:lang w:bidi="en-US"/>
              </w:rPr>
              <w:t>#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0401840A" w14:textId="452C622E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What was the agreed upon next step?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49331726" w14:textId="1C83AA8C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 xml:space="preserve">Who will </w:t>
            </w:r>
            <w:proofErr w:type="gramStart"/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be in charge of</w:t>
            </w:r>
            <w:proofErr w:type="gramEnd"/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 xml:space="preserve"> completing this item?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9B9B9B" w:themeColor="background1" w:themeTint="99"/>
              <w:right w:val="nil"/>
            </w:tcBorders>
          </w:tcPr>
          <w:p w14:paraId="480BEA64" w14:textId="77777777" w:rsidR="00225B21" w:rsidRPr="00B81D82" w:rsidRDefault="00225B21" w:rsidP="00704F1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jc w:val="center"/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</w:pPr>
            <w:r w:rsidRPr="00B81D82">
              <w:rPr>
                <w:rFonts w:ascii="Avenir Next LT Pro" w:eastAsia="Calibri" w:hAnsi="Avenir Next LT Pro" w:cs="Segoe UI Semilight"/>
                <w:color w:val="323E4F" w:themeColor="text2" w:themeShade="BF"/>
                <w:sz w:val="20"/>
                <w:szCs w:val="20"/>
                <w:lang w:bidi="en-US"/>
              </w:rPr>
              <w:t>When will this be completed?</w:t>
            </w:r>
          </w:p>
        </w:tc>
      </w:tr>
      <w:tr w:rsidR="00225B21" w:rsidRPr="00D6277E" w14:paraId="3A292615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23A0290" w14:textId="7EED32F6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5804EF7" w14:textId="50C8CBA9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26620ED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1AE0B915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4CE77A10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7C6503A4" w14:textId="6CC8FB6E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34A3EC16" w14:textId="3E271532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0FA4DB04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4272E5D2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5D17D6BF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4CA75EA" w14:textId="756292BC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EC0D203" w14:textId="42D65D6A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645AAB6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9B2D810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7949772B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0F84AD59" w14:textId="61A4262A" w:rsidR="00225B21" w:rsidRPr="00D6277E" w:rsidRDefault="00225B21" w:rsidP="00A80662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jc w:val="center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  <w:r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CCE725C" w14:textId="0341D493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170621F2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6150F164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634E7009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48928B38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162F9985" w14:textId="3808E6FF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B214973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70B9B38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5E5462C8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292908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7CCF324E" w14:textId="53CB1FDF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3C9D6A5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613C389A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  <w:tr w:rsidR="00225B21" w:rsidRPr="00D6277E" w14:paraId="7ED55107" w14:textId="77777777" w:rsidTr="00A407C0">
        <w:trPr>
          <w:trHeight w:val="864"/>
        </w:trPr>
        <w:tc>
          <w:tcPr>
            <w:tcW w:w="9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37BF847B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4500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4FEDD060" w14:textId="7C6E8A60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1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89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  <w:shd w:val="clear" w:color="auto" w:fill="E7E6E6" w:themeFill="background2"/>
          </w:tcPr>
          <w:p w14:paraId="715FDEFE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ind w:right="7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9B9B9B" w:themeColor="background1" w:themeTint="99"/>
              <w:left w:val="nil"/>
              <w:bottom w:val="single" w:sz="4" w:space="0" w:color="9B9B9B" w:themeColor="background1" w:themeTint="99"/>
              <w:right w:val="nil"/>
            </w:tcBorders>
          </w:tcPr>
          <w:p w14:paraId="05FABA9A" w14:textId="77777777" w:rsidR="00225B21" w:rsidRPr="00D6277E" w:rsidRDefault="00225B21" w:rsidP="00225B21">
            <w:pPr>
              <w:widowControl w:val="0"/>
              <w:tabs>
                <w:tab w:val="left" w:pos="540"/>
              </w:tabs>
              <w:autoSpaceDE w:val="0"/>
              <w:autoSpaceDN w:val="0"/>
              <w:spacing w:before="60" w:after="60"/>
              <w:rPr>
                <w:rFonts w:ascii="Avenir Next LT Pro" w:eastAsia="Calibri" w:hAnsi="Avenir Next LT Pro" w:cs="Segoe UI Semilight"/>
                <w:color w:val="44546A" w:themeColor="text2"/>
                <w:lang w:bidi="en-US"/>
              </w:rPr>
            </w:pPr>
          </w:p>
        </w:tc>
      </w:tr>
    </w:tbl>
    <w:p w14:paraId="583F92AF" w14:textId="6FBB6C85" w:rsidR="00D6277E" w:rsidRPr="001017C6" w:rsidRDefault="00145D69" w:rsidP="00FA12A3">
      <w:pPr>
        <w:widowControl w:val="0"/>
        <w:tabs>
          <w:tab w:val="left" w:pos="540"/>
        </w:tabs>
        <w:autoSpaceDE w:val="0"/>
        <w:autoSpaceDN w:val="0"/>
        <w:spacing w:before="120" w:after="120"/>
        <w:ind w:right="360"/>
        <w:rPr>
          <w:rFonts w:ascii="Avenir Next LT Pro" w:eastAsia="Calibri" w:hAnsi="Avenir Next LT Pro" w:cs="Segoe UI Semilight"/>
          <w:color w:val="44546A" w:themeColor="text2"/>
          <w:lang w:bidi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97743ED" wp14:editId="53D00E24">
                <wp:extent cx="6534150" cy="316865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316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5C35C" w14:textId="63D0CC2B" w:rsidR="000C0885" w:rsidRPr="005B28AC" w:rsidRDefault="000C0885" w:rsidP="00BF1C92">
                            <w:pPr>
                              <w:widowControl w:val="0"/>
                              <w:autoSpaceDE w:val="0"/>
                              <w:autoSpaceDN w:val="0"/>
                              <w:spacing w:before="120" w:after="120" w:line="240" w:lineRule="auto"/>
                              <w:ind w:left="180" w:right="15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This Planner can</w:t>
                            </w:r>
                            <w:r w:rsidR="00FF6209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be used to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capture action items while organizing them into the larger strands, or categories, of activity programs are required to engage in and document.  </w:t>
                            </w:r>
                            <w:r w:rsidR="00235AE3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Categories</w:t>
                            </w:r>
                            <w:r w:rsidR="00704F12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specified in the grant &amp; guidance policies</w:t>
                            </w:r>
                            <w:r w:rsidR="00FF6209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requiring evidence</w:t>
                            </w:r>
                            <w:r w:rsidR="00235AE3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of activity</w:t>
                            </w:r>
                            <w:r w:rsidR="00704F12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/progress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include: </w:t>
                            </w:r>
                          </w:p>
                          <w:p w14:paraId="00447D90" w14:textId="77777777" w:rsidR="000C0885" w:rsidRPr="005B28AC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120" w:line="240" w:lineRule="auto"/>
                              <w:ind w:left="540" w:right="150"/>
                              <w:contextualSpacing w:val="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Collaboration with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>Local Evaluator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.  Coordinating data collection as per the Evaluation Plan, and integrating usable, improvement-focused recommendations from the most recent formative findings reports.</w:t>
                            </w:r>
                          </w:p>
                          <w:p w14:paraId="5E91A852" w14:textId="77777777" w:rsidR="000C0885" w:rsidRPr="005B28AC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120" w:line="240" w:lineRule="auto"/>
                              <w:ind w:left="540" w:right="150"/>
                              <w:contextualSpacing w:val="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Collaborative Planning Time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with Partnering Agencies and School Officials.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This activity can be coordinated by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>Education Liaison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, assessing needs and opportunities in the connection between school-day staff &amp; leaders, students, and the program.</w:t>
                            </w:r>
                          </w:p>
                          <w:p w14:paraId="14F335AC" w14:textId="3F04B2A9" w:rsidR="000C0885" w:rsidRPr="0066439B" w:rsidRDefault="000C0885" w:rsidP="00BF1C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before="120" w:after="0" w:line="240" w:lineRule="auto"/>
                              <w:ind w:left="540" w:right="150"/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Internal Improvement Cycles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.  These activities involve processing the information gathered through continuous self-assessment, also called Plan, Do, Study, Act (PDSA) cycles.  Program Management Teams &amp; the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0000FF"/>
                                <w:sz w:val="20"/>
                                <w:szCs w:val="20"/>
                                <w:lang w:bidi="en-US"/>
                              </w:rPr>
                              <w:t xml:space="preserve">Data Manager </w:t>
                            </w:r>
                            <w:r w:rsidRPr="005B28AC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can distill and integrate the findings from the program-wide Quality Self-Assessment (QSA) process, the site-level Program Activity Implementation Review (PAIR) process, any turnkey take-aways from Staff PD (Statewide/Regional PD events, in-house PD offerings), and stakeholder needs assessment/ needs sensing activities.</w:t>
                            </w:r>
                          </w:p>
                          <w:p w14:paraId="3246D06B" w14:textId="35BB6E21" w:rsidR="0066439B" w:rsidRPr="0066439B" w:rsidRDefault="0066439B" w:rsidP="00BF1C92">
                            <w:pPr>
                              <w:widowControl w:val="0"/>
                              <w:autoSpaceDE w:val="0"/>
                              <w:autoSpaceDN w:val="0"/>
                              <w:spacing w:before="120" w:after="0" w:line="240" w:lineRule="auto"/>
                              <w:ind w:left="180" w:right="150"/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Consider includ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ing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acti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>ons related to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these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specific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categories</w:t>
                            </w:r>
                            <w:r w:rsidR="00747E9A"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into routine planning and documenting them accordingly.</w:t>
                            </w:r>
                            <w:r>
                              <w:rPr>
                                <w:rFonts w:ascii="Avenir Next LT Pro" w:eastAsia="Calibri" w:hAnsi="Avenir Next LT Pro" w:cs="Segoe UI Semilight"/>
                                <w:color w:val="44546A" w:themeColor="text2"/>
                                <w:sz w:val="20"/>
                                <w:szCs w:val="20"/>
                                <w:lang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74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.5pt;height:2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" fillcolor="#e7e6e6 [3214]" stroked="f" strokeweight=".5pt">
                <v:textbox inset="3.6pt,,3.6pt">
                  <w:txbxContent>
                    <w:p w14:paraId="66A5C35C" w14:textId="63D0CC2B" w:rsidR="000C0885" w:rsidRPr="005B28AC" w:rsidRDefault="000C0885" w:rsidP="00BF1C92">
                      <w:pPr>
                        <w:widowControl w:val="0"/>
                        <w:autoSpaceDE w:val="0"/>
                        <w:autoSpaceDN w:val="0"/>
                        <w:spacing w:before="120" w:after="120" w:line="240" w:lineRule="auto"/>
                        <w:ind w:left="180" w:right="15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This Planner can</w:t>
                      </w:r>
                      <w:r w:rsidR="00FF6209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be used to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capture action items while organizing them into the larger strands, or categories, of activity programs are required to engage in and document.  </w:t>
                      </w:r>
                      <w:r w:rsidR="00235AE3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Categories</w:t>
                      </w:r>
                      <w:r w:rsidR="00704F12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specified in the grant &amp; guidance policies</w:t>
                      </w:r>
                      <w:r w:rsidR="00FF6209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requiring evidence</w:t>
                      </w:r>
                      <w:r w:rsidR="00235AE3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of activity</w:t>
                      </w:r>
                      <w:r w:rsidR="00704F12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/progress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include: </w:t>
                      </w:r>
                    </w:p>
                    <w:p w14:paraId="00447D90" w14:textId="77777777" w:rsidR="000C0885" w:rsidRPr="005B28AC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120" w:line="240" w:lineRule="auto"/>
                        <w:ind w:left="540" w:right="150"/>
                        <w:contextualSpacing w:val="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Collaboration with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>Local Evaluator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.  Coordinating data collection as per the Evaluation Plan, and integrating usable, improvement-focused recommendations from the most recent formative findings reports.</w:t>
                      </w:r>
                    </w:p>
                    <w:p w14:paraId="5E91A852" w14:textId="77777777" w:rsidR="000C0885" w:rsidRPr="005B28AC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120" w:line="240" w:lineRule="auto"/>
                        <w:ind w:left="540" w:right="150"/>
                        <w:contextualSpacing w:val="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Collaborative Planning Time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with Partnering Agencies and School Officials.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This activity can be coordinated by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>Education Liaison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, assessing needs and opportunities in the connection between school-day staff &amp; leaders, students, and the program.</w:t>
                      </w:r>
                    </w:p>
                    <w:p w14:paraId="14F335AC" w14:textId="3F04B2A9" w:rsidR="000C0885" w:rsidRPr="0066439B" w:rsidRDefault="000C0885" w:rsidP="00BF1C92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spacing w:before="120" w:after="0" w:line="240" w:lineRule="auto"/>
                        <w:ind w:left="540" w:right="150"/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 w:rsidRPr="005B28AC">
                        <w:rPr>
                          <w:rFonts w:ascii="Avenir Next LT Pro" w:eastAsia="Calibri" w:hAnsi="Avenir Next LT Pro" w:cs="Segoe UI Semilight"/>
                          <w:b/>
                          <w:bCs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Internal Improvement Cycles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.  These activities involve processing the information gathered through continuous self-assessment, also called Plan, Do, Study, Act (PDSA) cycles.  Program Management Teams &amp; the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0000FF"/>
                          <w:sz w:val="20"/>
                          <w:szCs w:val="20"/>
                          <w:lang w:bidi="en-US"/>
                        </w:rPr>
                        <w:t xml:space="preserve">Data Manager </w:t>
                      </w:r>
                      <w:r w:rsidRPr="005B28AC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can distill and integrate the findings from the program-wide Quality Self-Assessment (QSA) process, the site-level Program Activity Implementation Review (PAIR) process, any turnkey take-aways from Staff PD (Statewide/Regional PD events, in-house PD offerings), and stakeholder needs assessment/ needs sensing activities.</w:t>
                      </w:r>
                    </w:p>
                    <w:p w14:paraId="3246D06B" w14:textId="35BB6E21" w:rsidR="0066439B" w:rsidRPr="0066439B" w:rsidRDefault="0066439B" w:rsidP="00BF1C92">
                      <w:pPr>
                        <w:widowControl w:val="0"/>
                        <w:autoSpaceDE w:val="0"/>
                        <w:autoSpaceDN w:val="0"/>
                        <w:spacing w:before="120" w:after="0" w:line="240" w:lineRule="auto"/>
                        <w:ind w:left="180" w:right="150"/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</w:pP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Consider includ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ing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acti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>ons related to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these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specific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categories</w:t>
                      </w:r>
                      <w:r w:rsidR="00747E9A"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into routine planning and documenting them accordingly.</w:t>
                      </w:r>
                      <w:r>
                        <w:rPr>
                          <w:rFonts w:ascii="Avenir Next LT Pro" w:eastAsia="Calibri" w:hAnsi="Avenir Next LT Pro" w:cs="Segoe UI Semilight"/>
                          <w:color w:val="44546A" w:themeColor="text2"/>
                          <w:sz w:val="20"/>
                          <w:szCs w:val="20"/>
                          <w:lang w:bidi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277E" w:rsidRPr="001017C6" w:rsidSect="00231170">
      <w:headerReference w:type="default" r:id="rId9"/>
      <w:footerReference w:type="default" r:id="rId10"/>
      <w:pgSz w:w="12240" w:h="15840"/>
      <w:pgMar w:top="990" w:right="720" w:bottom="450" w:left="90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659" w14:textId="77777777" w:rsidR="00584DDE" w:rsidRDefault="00584DDE" w:rsidP="00A47471">
      <w:pPr>
        <w:spacing w:after="0" w:line="240" w:lineRule="auto"/>
      </w:pPr>
      <w:r>
        <w:separator/>
      </w:r>
    </w:p>
  </w:endnote>
  <w:endnote w:type="continuationSeparator" w:id="0">
    <w:p w14:paraId="66E5344F" w14:textId="77777777" w:rsidR="00584DDE" w:rsidRDefault="00584DDE" w:rsidP="00A4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51747"/>
      <w:docPartObj>
        <w:docPartGallery w:val="Page Numbers (Bottom of Page)"/>
        <w:docPartUnique/>
      </w:docPartObj>
    </w:sdtPr>
    <w:sdtEndPr/>
    <w:sdtContent>
      <w:p w14:paraId="277C9156" w14:textId="658B859C" w:rsidR="002F5D24" w:rsidRDefault="00DC411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C581" w14:textId="77777777" w:rsidR="00584DDE" w:rsidRDefault="00584DDE" w:rsidP="00A47471">
      <w:pPr>
        <w:spacing w:after="0" w:line="240" w:lineRule="auto"/>
      </w:pPr>
      <w:r>
        <w:separator/>
      </w:r>
    </w:p>
  </w:footnote>
  <w:footnote w:type="continuationSeparator" w:id="0">
    <w:p w14:paraId="33F1D827" w14:textId="77777777" w:rsidR="00584DDE" w:rsidRDefault="00584DDE" w:rsidP="00A4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C51F" w14:textId="127FCDE3" w:rsidR="00A47471" w:rsidRDefault="00A474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A33CA" wp14:editId="2AB88037">
              <wp:simplePos x="0" y="0"/>
              <wp:positionH relativeFrom="column">
                <wp:posOffset>-596899</wp:posOffset>
              </wp:positionH>
              <wp:positionV relativeFrom="paragraph">
                <wp:posOffset>-222250</wp:posOffset>
              </wp:positionV>
              <wp:extent cx="857250" cy="26670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66700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73278" w14:textId="40289DAB" w:rsidR="00A47471" w:rsidRPr="00BC2811" w:rsidRDefault="00BC2811" w:rsidP="00A47471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BC2811"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A3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-47pt;margin-top:-17.5pt;width:67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" fillcolor="#00c" stroked="f" strokeweight=".5pt">
              <v:textbox>
                <w:txbxContent>
                  <w:p w14:paraId="78D73278" w14:textId="40289DAB" w:rsidR="00A47471" w:rsidRPr="00BC2811" w:rsidRDefault="00BC2811" w:rsidP="00A47471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BC2811"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51"/>
    <w:multiLevelType w:val="hybridMultilevel"/>
    <w:tmpl w:val="E402E4E0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D67"/>
    <w:multiLevelType w:val="hybridMultilevel"/>
    <w:tmpl w:val="D70C89FA"/>
    <w:lvl w:ilvl="0" w:tplc="C77208BE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1354"/>
    <w:multiLevelType w:val="hybridMultilevel"/>
    <w:tmpl w:val="83549D7E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3C14"/>
    <w:multiLevelType w:val="hybridMultilevel"/>
    <w:tmpl w:val="3A02ACB6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05F"/>
    <w:multiLevelType w:val="hybridMultilevel"/>
    <w:tmpl w:val="C1B02F18"/>
    <w:lvl w:ilvl="0" w:tplc="D9900010">
      <w:start w:val="1"/>
      <w:numFmt w:val="bullet"/>
      <w:lvlText w:val=""/>
      <w:lvlJc w:val="left"/>
      <w:pPr>
        <w:ind w:left="108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637520"/>
    <w:multiLevelType w:val="hybridMultilevel"/>
    <w:tmpl w:val="2BC0E5D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23491"/>
    <w:multiLevelType w:val="hybridMultilevel"/>
    <w:tmpl w:val="C7163A7A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A53A0"/>
    <w:multiLevelType w:val="hybridMultilevel"/>
    <w:tmpl w:val="E006FC98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2F75"/>
    <w:multiLevelType w:val="hybridMultilevel"/>
    <w:tmpl w:val="F63C250C"/>
    <w:lvl w:ilvl="0" w:tplc="98A09A7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462B"/>
    <w:multiLevelType w:val="hybridMultilevel"/>
    <w:tmpl w:val="61A2E3CE"/>
    <w:lvl w:ilvl="0" w:tplc="5F2C740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CB5BB0"/>
    <w:multiLevelType w:val="hybridMultilevel"/>
    <w:tmpl w:val="91B2BC6C"/>
    <w:lvl w:ilvl="0" w:tplc="D9900010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411A6"/>
    <w:multiLevelType w:val="hybridMultilevel"/>
    <w:tmpl w:val="8D2C4AB0"/>
    <w:lvl w:ilvl="0" w:tplc="0B36802A">
      <w:start w:val="1"/>
      <w:numFmt w:val="bullet"/>
      <w:lvlText w:val="}"/>
      <w:lvlJc w:val="left"/>
      <w:pPr>
        <w:ind w:left="766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CD83EC3"/>
    <w:multiLevelType w:val="hybridMultilevel"/>
    <w:tmpl w:val="034E0442"/>
    <w:lvl w:ilvl="0" w:tplc="0B36802A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0"/>
    <w:rsid w:val="000072F9"/>
    <w:rsid w:val="000147E1"/>
    <w:rsid w:val="000158AA"/>
    <w:rsid w:val="000160F3"/>
    <w:rsid w:val="00022726"/>
    <w:rsid w:val="00035DBF"/>
    <w:rsid w:val="000637DF"/>
    <w:rsid w:val="0006401F"/>
    <w:rsid w:val="00066BF8"/>
    <w:rsid w:val="00070CB9"/>
    <w:rsid w:val="00071F3A"/>
    <w:rsid w:val="0008567B"/>
    <w:rsid w:val="000A5FA0"/>
    <w:rsid w:val="000B7CEB"/>
    <w:rsid w:val="000C0885"/>
    <w:rsid w:val="000C7A05"/>
    <w:rsid w:val="000C7B58"/>
    <w:rsid w:val="000D0704"/>
    <w:rsid w:val="000D6436"/>
    <w:rsid w:val="000E06B0"/>
    <w:rsid w:val="000E240F"/>
    <w:rsid w:val="000F7D49"/>
    <w:rsid w:val="00100641"/>
    <w:rsid w:val="001017C6"/>
    <w:rsid w:val="00103899"/>
    <w:rsid w:val="00105A22"/>
    <w:rsid w:val="00112077"/>
    <w:rsid w:val="0011759C"/>
    <w:rsid w:val="0012733A"/>
    <w:rsid w:val="00130380"/>
    <w:rsid w:val="001377F7"/>
    <w:rsid w:val="00137997"/>
    <w:rsid w:val="001426E8"/>
    <w:rsid w:val="001457A8"/>
    <w:rsid w:val="00145D69"/>
    <w:rsid w:val="0015002F"/>
    <w:rsid w:val="00155B8F"/>
    <w:rsid w:val="00156D63"/>
    <w:rsid w:val="001573F2"/>
    <w:rsid w:val="00161C93"/>
    <w:rsid w:val="00170B05"/>
    <w:rsid w:val="00172261"/>
    <w:rsid w:val="00172D89"/>
    <w:rsid w:val="00177C43"/>
    <w:rsid w:val="00177CEA"/>
    <w:rsid w:val="001A1935"/>
    <w:rsid w:val="001A2FAC"/>
    <w:rsid w:val="001B00FD"/>
    <w:rsid w:val="001B2594"/>
    <w:rsid w:val="001D2024"/>
    <w:rsid w:val="001D539B"/>
    <w:rsid w:val="001E1FCC"/>
    <w:rsid w:val="001E508B"/>
    <w:rsid w:val="001F3C5B"/>
    <w:rsid w:val="002221E3"/>
    <w:rsid w:val="00225B21"/>
    <w:rsid w:val="00227DF4"/>
    <w:rsid w:val="00231170"/>
    <w:rsid w:val="00235AE3"/>
    <w:rsid w:val="00251227"/>
    <w:rsid w:val="002527B9"/>
    <w:rsid w:val="00252D2F"/>
    <w:rsid w:val="00255605"/>
    <w:rsid w:val="00256107"/>
    <w:rsid w:val="00263743"/>
    <w:rsid w:val="00263D8D"/>
    <w:rsid w:val="002701FF"/>
    <w:rsid w:val="00271B4E"/>
    <w:rsid w:val="00272BC0"/>
    <w:rsid w:val="0027309A"/>
    <w:rsid w:val="00274E5E"/>
    <w:rsid w:val="002752E2"/>
    <w:rsid w:val="00291DF9"/>
    <w:rsid w:val="00291F16"/>
    <w:rsid w:val="00297D7D"/>
    <w:rsid w:val="002A5278"/>
    <w:rsid w:val="002B5C50"/>
    <w:rsid w:val="002C2C48"/>
    <w:rsid w:val="002C620B"/>
    <w:rsid w:val="002D758F"/>
    <w:rsid w:val="002E43DF"/>
    <w:rsid w:val="002F0432"/>
    <w:rsid w:val="002F5D24"/>
    <w:rsid w:val="00320359"/>
    <w:rsid w:val="00325C6F"/>
    <w:rsid w:val="00335A00"/>
    <w:rsid w:val="00340E82"/>
    <w:rsid w:val="00340F09"/>
    <w:rsid w:val="003423E1"/>
    <w:rsid w:val="0034669D"/>
    <w:rsid w:val="00352C51"/>
    <w:rsid w:val="00352EFC"/>
    <w:rsid w:val="00353AA2"/>
    <w:rsid w:val="0035404B"/>
    <w:rsid w:val="003541A5"/>
    <w:rsid w:val="003617DA"/>
    <w:rsid w:val="00366E7E"/>
    <w:rsid w:val="003779BD"/>
    <w:rsid w:val="0038034F"/>
    <w:rsid w:val="0038067B"/>
    <w:rsid w:val="00393AA6"/>
    <w:rsid w:val="00395C50"/>
    <w:rsid w:val="003A1B2E"/>
    <w:rsid w:val="003B0486"/>
    <w:rsid w:val="003B2E52"/>
    <w:rsid w:val="003B3CB2"/>
    <w:rsid w:val="003B3F9B"/>
    <w:rsid w:val="003C482B"/>
    <w:rsid w:val="003D5936"/>
    <w:rsid w:val="004059DF"/>
    <w:rsid w:val="00410EEE"/>
    <w:rsid w:val="0042162D"/>
    <w:rsid w:val="00425726"/>
    <w:rsid w:val="00431278"/>
    <w:rsid w:val="004430A1"/>
    <w:rsid w:val="00445EA1"/>
    <w:rsid w:val="00451D33"/>
    <w:rsid w:val="004555F2"/>
    <w:rsid w:val="00475804"/>
    <w:rsid w:val="004839CF"/>
    <w:rsid w:val="004958D3"/>
    <w:rsid w:val="00495A99"/>
    <w:rsid w:val="004B733D"/>
    <w:rsid w:val="004C2189"/>
    <w:rsid w:val="004D749E"/>
    <w:rsid w:val="004E1A11"/>
    <w:rsid w:val="004E29A7"/>
    <w:rsid w:val="004F527E"/>
    <w:rsid w:val="00522796"/>
    <w:rsid w:val="00543D93"/>
    <w:rsid w:val="005467F5"/>
    <w:rsid w:val="005504D7"/>
    <w:rsid w:val="0055214F"/>
    <w:rsid w:val="00553211"/>
    <w:rsid w:val="00555FA9"/>
    <w:rsid w:val="00560385"/>
    <w:rsid w:val="00561021"/>
    <w:rsid w:val="00562132"/>
    <w:rsid w:val="00562490"/>
    <w:rsid w:val="00572EFE"/>
    <w:rsid w:val="00574879"/>
    <w:rsid w:val="00577FF5"/>
    <w:rsid w:val="0058146B"/>
    <w:rsid w:val="00584DDE"/>
    <w:rsid w:val="005938C1"/>
    <w:rsid w:val="005955BE"/>
    <w:rsid w:val="005A1ACF"/>
    <w:rsid w:val="005A217C"/>
    <w:rsid w:val="005A21B9"/>
    <w:rsid w:val="005A3551"/>
    <w:rsid w:val="005B28AC"/>
    <w:rsid w:val="005B306E"/>
    <w:rsid w:val="005B4442"/>
    <w:rsid w:val="005D29C7"/>
    <w:rsid w:val="005D3323"/>
    <w:rsid w:val="005D7651"/>
    <w:rsid w:val="00601C43"/>
    <w:rsid w:val="006049EC"/>
    <w:rsid w:val="006104A2"/>
    <w:rsid w:val="00617089"/>
    <w:rsid w:val="00617F64"/>
    <w:rsid w:val="006230B2"/>
    <w:rsid w:val="00624175"/>
    <w:rsid w:val="00636275"/>
    <w:rsid w:val="00636FB4"/>
    <w:rsid w:val="00642E4D"/>
    <w:rsid w:val="00652394"/>
    <w:rsid w:val="0066336E"/>
    <w:rsid w:val="0066439B"/>
    <w:rsid w:val="00670CB7"/>
    <w:rsid w:val="006A4CDC"/>
    <w:rsid w:val="006B355C"/>
    <w:rsid w:val="006C29C7"/>
    <w:rsid w:val="006C2BF0"/>
    <w:rsid w:val="006C34F0"/>
    <w:rsid w:val="006C3C6D"/>
    <w:rsid w:val="006C63ED"/>
    <w:rsid w:val="006C726F"/>
    <w:rsid w:val="006D22FE"/>
    <w:rsid w:val="006F0546"/>
    <w:rsid w:val="006F1D79"/>
    <w:rsid w:val="007024AD"/>
    <w:rsid w:val="00704F12"/>
    <w:rsid w:val="00720CB8"/>
    <w:rsid w:val="00734142"/>
    <w:rsid w:val="007374B9"/>
    <w:rsid w:val="00741337"/>
    <w:rsid w:val="00747E9A"/>
    <w:rsid w:val="00756C9F"/>
    <w:rsid w:val="007571DB"/>
    <w:rsid w:val="00761D1D"/>
    <w:rsid w:val="00766D98"/>
    <w:rsid w:val="007710F2"/>
    <w:rsid w:val="007728AB"/>
    <w:rsid w:val="00783A48"/>
    <w:rsid w:val="0078511D"/>
    <w:rsid w:val="00793D42"/>
    <w:rsid w:val="007978E2"/>
    <w:rsid w:val="007A4069"/>
    <w:rsid w:val="007A6B59"/>
    <w:rsid w:val="007B76DD"/>
    <w:rsid w:val="007D26C4"/>
    <w:rsid w:val="007D4467"/>
    <w:rsid w:val="007D5752"/>
    <w:rsid w:val="007D7BCB"/>
    <w:rsid w:val="007E14AB"/>
    <w:rsid w:val="007E269F"/>
    <w:rsid w:val="007E7C92"/>
    <w:rsid w:val="00813747"/>
    <w:rsid w:val="00816EC6"/>
    <w:rsid w:val="00822964"/>
    <w:rsid w:val="0082449D"/>
    <w:rsid w:val="008245CB"/>
    <w:rsid w:val="00825EBC"/>
    <w:rsid w:val="00826FED"/>
    <w:rsid w:val="00835744"/>
    <w:rsid w:val="00875A3E"/>
    <w:rsid w:val="008767C3"/>
    <w:rsid w:val="00881037"/>
    <w:rsid w:val="00881FA9"/>
    <w:rsid w:val="00886B57"/>
    <w:rsid w:val="008976C0"/>
    <w:rsid w:val="008B4C1E"/>
    <w:rsid w:val="008C1D1B"/>
    <w:rsid w:val="008C52B9"/>
    <w:rsid w:val="008D2750"/>
    <w:rsid w:val="008D7C3F"/>
    <w:rsid w:val="008E6CDA"/>
    <w:rsid w:val="008F7FB4"/>
    <w:rsid w:val="00910381"/>
    <w:rsid w:val="0091476D"/>
    <w:rsid w:val="0091546B"/>
    <w:rsid w:val="00916681"/>
    <w:rsid w:val="00927FB8"/>
    <w:rsid w:val="009417B2"/>
    <w:rsid w:val="0094723A"/>
    <w:rsid w:val="00954F22"/>
    <w:rsid w:val="0097773C"/>
    <w:rsid w:val="00996F0C"/>
    <w:rsid w:val="009B0492"/>
    <w:rsid w:val="009B51CC"/>
    <w:rsid w:val="009C300E"/>
    <w:rsid w:val="009C6211"/>
    <w:rsid w:val="009D00CD"/>
    <w:rsid w:val="009D7D0B"/>
    <w:rsid w:val="009E3653"/>
    <w:rsid w:val="00A04963"/>
    <w:rsid w:val="00A05F35"/>
    <w:rsid w:val="00A1006B"/>
    <w:rsid w:val="00A1160B"/>
    <w:rsid w:val="00A13588"/>
    <w:rsid w:val="00A25BEE"/>
    <w:rsid w:val="00A30D44"/>
    <w:rsid w:val="00A31B9F"/>
    <w:rsid w:val="00A407C0"/>
    <w:rsid w:val="00A47471"/>
    <w:rsid w:val="00A80662"/>
    <w:rsid w:val="00AC5F4B"/>
    <w:rsid w:val="00AC7A36"/>
    <w:rsid w:val="00AD558C"/>
    <w:rsid w:val="00AD6EE0"/>
    <w:rsid w:val="00AE7165"/>
    <w:rsid w:val="00B00FE6"/>
    <w:rsid w:val="00B1295E"/>
    <w:rsid w:val="00B135ED"/>
    <w:rsid w:val="00B24402"/>
    <w:rsid w:val="00B25B52"/>
    <w:rsid w:val="00B32632"/>
    <w:rsid w:val="00B56A19"/>
    <w:rsid w:val="00B81D82"/>
    <w:rsid w:val="00B86FF4"/>
    <w:rsid w:val="00B921ED"/>
    <w:rsid w:val="00B9312B"/>
    <w:rsid w:val="00BA03D3"/>
    <w:rsid w:val="00BA10D4"/>
    <w:rsid w:val="00BA4627"/>
    <w:rsid w:val="00BB268E"/>
    <w:rsid w:val="00BB3908"/>
    <w:rsid w:val="00BC2811"/>
    <w:rsid w:val="00BC5772"/>
    <w:rsid w:val="00BD0451"/>
    <w:rsid w:val="00BD1552"/>
    <w:rsid w:val="00BD4F9B"/>
    <w:rsid w:val="00BD6102"/>
    <w:rsid w:val="00BE0E6B"/>
    <w:rsid w:val="00BE462A"/>
    <w:rsid w:val="00BF1C92"/>
    <w:rsid w:val="00C1340A"/>
    <w:rsid w:val="00C4173F"/>
    <w:rsid w:val="00C80914"/>
    <w:rsid w:val="00C82274"/>
    <w:rsid w:val="00C90ACA"/>
    <w:rsid w:val="00C93D10"/>
    <w:rsid w:val="00CA5D33"/>
    <w:rsid w:val="00CB7675"/>
    <w:rsid w:val="00CC0872"/>
    <w:rsid w:val="00CC4FBD"/>
    <w:rsid w:val="00CC751D"/>
    <w:rsid w:val="00CD1942"/>
    <w:rsid w:val="00CD1988"/>
    <w:rsid w:val="00CD1CFF"/>
    <w:rsid w:val="00CD541B"/>
    <w:rsid w:val="00CE6E1E"/>
    <w:rsid w:val="00CF422E"/>
    <w:rsid w:val="00CF5DE4"/>
    <w:rsid w:val="00D04233"/>
    <w:rsid w:val="00D12B74"/>
    <w:rsid w:val="00D30AA7"/>
    <w:rsid w:val="00D34A45"/>
    <w:rsid w:val="00D35242"/>
    <w:rsid w:val="00D45EE9"/>
    <w:rsid w:val="00D46EDB"/>
    <w:rsid w:val="00D510A4"/>
    <w:rsid w:val="00D6277E"/>
    <w:rsid w:val="00D62D0E"/>
    <w:rsid w:val="00D7721A"/>
    <w:rsid w:val="00D803F6"/>
    <w:rsid w:val="00D91EFF"/>
    <w:rsid w:val="00D9543B"/>
    <w:rsid w:val="00DA0220"/>
    <w:rsid w:val="00DA1D86"/>
    <w:rsid w:val="00DB020B"/>
    <w:rsid w:val="00DB1D19"/>
    <w:rsid w:val="00DB3768"/>
    <w:rsid w:val="00DB5B2E"/>
    <w:rsid w:val="00DC4111"/>
    <w:rsid w:val="00DD1864"/>
    <w:rsid w:val="00DD23C4"/>
    <w:rsid w:val="00DF2D9D"/>
    <w:rsid w:val="00DF55C6"/>
    <w:rsid w:val="00E02AD2"/>
    <w:rsid w:val="00E03090"/>
    <w:rsid w:val="00E1343C"/>
    <w:rsid w:val="00E13705"/>
    <w:rsid w:val="00E14820"/>
    <w:rsid w:val="00E2397B"/>
    <w:rsid w:val="00E41047"/>
    <w:rsid w:val="00E45D88"/>
    <w:rsid w:val="00E5058C"/>
    <w:rsid w:val="00E625D7"/>
    <w:rsid w:val="00E64590"/>
    <w:rsid w:val="00E65408"/>
    <w:rsid w:val="00E6777F"/>
    <w:rsid w:val="00E72F1F"/>
    <w:rsid w:val="00E74D7D"/>
    <w:rsid w:val="00E75327"/>
    <w:rsid w:val="00E9033C"/>
    <w:rsid w:val="00E92B6D"/>
    <w:rsid w:val="00EA09B9"/>
    <w:rsid w:val="00F1275E"/>
    <w:rsid w:val="00F1285F"/>
    <w:rsid w:val="00F13C8A"/>
    <w:rsid w:val="00F165AD"/>
    <w:rsid w:val="00F17C15"/>
    <w:rsid w:val="00F23EB6"/>
    <w:rsid w:val="00F24DF9"/>
    <w:rsid w:val="00F274A6"/>
    <w:rsid w:val="00F34868"/>
    <w:rsid w:val="00F630A4"/>
    <w:rsid w:val="00F63DDC"/>
    <w:rsid w:val="00F742BD"/>
    <w:rsid w:val="00F75942"/>
    <w:rsid w:val="00FA12A3"/>
    <w:rsid w:val="00FA3C36"/>
    <w:rsid w:val="00FA430B"/>
    <w:rsid w:val="00FA4751"/>
    <w:rsid w:val="00FD0B90"/>
    <w:rsid w:val="00FF2949"/>
    <w:rsid w:val="00FF620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28CE4"/>
  <w15:docId w15:val="{4E179445-44C5-42AC-B593-1DEC7F5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71"/>
  </w:style>
  <w:style w:type="paragraph" w:styleId="Footer">
    <w:name w:val="footer"/>
    <w:basedOn w:val="Normal"/>
    <w:link w:val="FooterChar"/>
    <w:uiPriority w:val="99"/>
    <w:unhideWhenUsed/>
    <w:rsid w:val="00A47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71"/>
  </w:style>
  <w:style w:type="character" w:styleId="CommentReference">
    <w:name w:val="annotation reference"/>
    <w:basedOn w:val="DefaultParagraphFont"/>
    <w:uiPriority w:val="99"/>
    <w:semiHidden/>
    <w:unhideWhenUsed/>
    <w:rsid w:val="001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20B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A80662"/>
    <w:pPr>
      <w:spacing w:after="0" w:line="240" w:lineRule="auto"/>
    </w:pPr>
    <w:tblPr>
      <w:tblBorders>
        <w:top w:val="single" w:sz="4" w:space="0" w:color="424242" w:themeColor="background1" w:themeShade="BF"/>
        <w:left w:val="single" w:sz="4" w:space="0" w:color="424242" w:themeColor="background1" w:themeShade="BF"/>
        <w:bottom w:val="single" w:sz="4" w:space="0" w:color="424242" w:themeColor="background1" w:themeShade="BF"/>
        <w:right w:val="single" w:sz="4" w:space="0" w:color="424242" w:themeColor="background1" w:themeShade="BF"/>
        <w:insideH w:val="single" w:sz="4" w:space="0" w:color="424242" w:themeColor="background1" w:themeShade="BF"/>
        <w:insideV w:val="single" w:sz="4" w:space="0" w:color="424242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ls Fave">
      <a:dk1>
        <a:sysClr val="windowText" lastClr="000000"/>
      </a:dk1>
      <a:lt1>
        <a:srgbClr val="595959"/>
      </a:lt1>
      <a:dk2>
        <a:srgbClr val="44546A"/>
      </a:dk2>
      <a:lt2>
        <a:srgbClr val="E7E6E6"/>
      </a:lt2>
      <a:accent1>
        <a:srgbClr val="0000C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scStud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ADF9-43D1-400B-B57D-6EB923F8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Sample-AdvisoryBoard-Agenda-ActionPlanner</vt:lpstr>
    </vt:vector>
  </TitlesOfParts>
  <Company>NYSED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Advisory Board Agenda and Action Planner</dc:title>
  <dc:creator>NYS Education Department</dc:creator>
  <cp:lastModifiedBy>Kyle McHugh</cp:lastModifiedBy>
  <cp:revision>12</cp:revision>
  <dcterms:created xsi:type="dcterms:W3CDTF">2022-08-10T14:51:00Z</dcterms:created>
  <dcterms:modified xsi:type="dcterms:W3CDTF">2022-08-10T15:01:00Z</dcterms:modified>
</cp:coreProperties>
</file>