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740F" w14:textId="094AEFC6" w:rsidR="003F5122" w:rsidRPr="00493B1A" w:rsidRDefault="003F5122" w:rsidP="00F65906">
      <w:pPr>
        <w:spacing w:after="0" w:line="240" w:lineRule="auto"/>
        <w:jc w:val="center"/>
        <w:rPr>
          <w:b/>
        </w:rPr>
      </w:pPr>
      <w:r w:rsidRPr="00493B1A">
        <w:rPr>
          <w:b/>
        </w:rPr>
        <w:t>New York State Education Department</w:t>
      </w:r>
      <w:r w:rsidR="00770E79" w:rsidRPr="00493B1A">
        <w:rPr>
          <w:b/>
        </w:rPr>
        <w:t xml:space="preserve"> (NYSED)</w:t>
      </w:r>
    </w:p>
    <w:p w14:paraId="68DE830D" w14:textId="5B9E696D" w:rsidR="00FA5154" w:rsidRDefault="00B31B79" w:rsidP="00F65906">
      <w:pPr>
        <w:spacing w:after="0" w:line="240" w:lineRule="auto"/>
        <w:jc w:val="center"/>
        <w:rPr>
          <w:b/>
          <w:bCs/>
        </w:rPr>
      </w:pPr>
      <w:r>
        <w:rPr>
          <w:b/>
          <w:bCs/>
        </w:rPr>
        <w:t>202</w:t>
      </w:r>
      <w:r w:rsidR="006736FB">
        <w:rPr>
          <w:b/>
          <w:bCs/>
        </w:rPr>
        <w:t>4</w:t>
      </w:r>
      <w:r>
        <w:rPr>
          <w:b/>
          <w:bCs/>
        </w:rPr>
        <w:t>-2</w:t>
      </w:r>
      <w:r w:rsidR="006736FB">
        <w:rPr>
          <w:b/>
          <w:bCs/>
        </w:rPr>
        <w:t>5</w:t>
      </w:r>
      <w:r>
        <w:rPr>
          <w:b/>
          <w:bCs/>
        </w:rPr>
        <w:t xml:space="preserve"> </w:t>
      </w:r>
      <w:r w:rsidR="000906B9" w:rsidRPr="6E40B5FA">
        <w:rPr>
          <w:b/>
          <w:bCs/>
        </w:rPr>
        <w:t xml:space="preserve">School Comprehensive Education Plan (SCEP) </w:t>
      </w:r>
      <w:r w:rsidR="006C167D">
        <w:rPr>
          <w:b/>
          <w:bCs/>
        </w:rPr>
        <w:t xml:space="preserve">Minimum </w:t>
      </w:r>
      <w:r w:rsidR="00864A58" w:rsidRPr="6E40B5FA">
        <w:rPr>
          <w:b/>
          <w:bCs/>
        </w:rPr>
        <w:t xml:space="preserve">Expectations </w:t>
      </w:r>
      <w:r w:rsidR="000906B9" w:rsidRPr="6E40B5FA">
        <w:rPr>
          <w:b/>
          <w:bCs/>
        </w:rPr>
        <w:t>Form</w:t>
      </w:r>
    </w:p>
    <w:tbl>
      <w:tblPr>
        <w:tblStyle w:val="TableGrid"/>
        <w:tblW w:w="10795" w:type="dxa"/>
        <w:tblLook w:val="04A0" w:firstRow="1" w:lastRow="0" w:firstColumn="1" w:lastColumn="0" w:noHBand="0" w:noVBand="1"/>
      </w:tblPr>
      <w:tblGrid>
        <w:gridCol w:w="1641"/>
        <w:gridCol w:w="3484"/>
        <w:gridCol w:w="1530"/>
        <w:gridCol w:w="4140"/>
      </w:tblGrid>
      <w:tr w:rsidR="0060353C" w14:paraId="6526BFB1" w14:textId="77777777" w:rsidTr="003A6D17">
        <w:tc>
          <w:tcPr>
            <w:tcW w:w="1641" w:type="dxa"/>
            <w:shd w:val="clear" w:color="auto" w:fill="E7E6E6" w:themeFill="background2"/>
          </w:tcPr>
          <w:p w14:paraId="5A828A46" w14:textId="500541EA" w:rsidR="00493B1A" w:rsidRDefault="00493B1A" w:rsidP="00F65906">
            <w:r>
              <w:t>District Name</w:t>
            </w:r>
          </w:p>
        </w:tc>
        <w:tc>
          <w:tcPr>
            <w:tcW w:w="3484" w:type="dxa"/>
          </w:tcPr>
          <w:p w14:paraId="51716B81" w14:textId="30006DFE" w:rsidR="00493B1A" w:rsidRDefault="00493B1A" w:rsidP="00F65906"/>
        </w:tc>
        <w:tc>
          <w:tcPr>
            <w:tcW w:w="1530" w:type="dxa"/>
            <w:shd w:val="clear" w:color="auto" w:fill="E7E6E6" w:themeFill="background2"/>
          </w:tcPr>
          <w:p w14:paraId="073607A3" w14:textId="3EF88ABD" w:rsidR="00493B1A" w:rsidRDefault="00493B1A" w:rsidP="00F65906">
            <w:r>
              <w:t>School Name</w:t>
            </w:r>
          </w:p>
        </w:tc>
        <w:tc>
          <w:tcPr>
            <w:tcW w:w="4140" w:type="dxa"/>
          </w:tcPr>
          <w:p w14:paraId="4067B20F" w14:textId="2C64BF02" w:rsidR="00493B1A" w:rsidRDefault="00493B1A" w:rsidP="00F65906"/>
        </w:tc>
      </w:tr>
    </w:tbl>
    <w:p w14:paraId="69CE91BC" w14:textId="3287397F" w:rsidR="00683BC4" w:rsidRDefault="00770E79" w:rsidP="00F65906">
      <w:pPr>
        <w:spacing w:after="60" w:line="240" w:lineRule="auto"/>
      </w:pPr>
      <w:r>
        <w:t xml:space="preserve">School Comprehensive Education Plans (SCEPs) will be reviewed </w:t>
      </w:r>
      <w:r w:rsidR="00683BC4">
        <w:t xml:space="preserve">by NYSED </w:t>
      </w:r>
      <w:r>
        <w:t>according to the criteria listed below</w:t>
      </w:r>
      <w:r w:rsidR="006C167D">
        <w:t xml:space="preserve"> to ensure that the plans meet the Department’s </w:t>
      </w:r>
      <w:r w:rsidR="00B15301" w:rsidRPr="3E4687A7">
        <w:rPr>
          <w:b/>
          <w:bCs/>
        </w:rPr>
        <w:t>m</w:t>
      </w:r>
      <w:r w:rsidR="006C167D" w:rsidRPr="3E4687A7">
        <w:rPr>
          <w:b/>
          <w:bCs/>
        </w:rPr>
        <w:t xml:space="preserve">inimum </w:t>
      </w:r>
      <w:r w:rsidR="00B15301" w:rsidRPr="3E4687A7">
        <w:rPr>
          <w:b/>
          <w:bCs/>
        </w:rPr>
        <w:t>e</w:t>
      </w:r>
      <w:r w:rsidR="006C167D" w:rsidRPr="3E4687A7">
        <w:rPr>
          <w:b/>
          <w:bCs/>
        </w:rPr>
        <w:t>xpectations</w:t>
      </w:r>
      <w:r w:rsidR="006C167D">
        <w:t xml:space="preserve">.  For ideas on how to enhance a plan, school teams should refer to the </w:t>
      </w:r>
      <w:hyperlink r:id="rId8">
        <w:r w:rsidR="006C167D" w:rsidRPr="00791D24">
          <w:rPr>
            <w:rStyle w:val="Hyperlink"/>
          </w:rPr>
          <w:t>SCEP Rubric</w:t>
        </w:r>
      </w:hyperlink>
      <w:r>
        <w:t xml:space="preserve">.  </w:t>
      </w:r>
    </w:p>
    <w:p w14:paraId="4A71BB46" w14:textId="144A839B" w:rsidR="00683BC4" w:rsidRDefault="00683BC4" w:rsidP="00F65906">
      <w:pPr>
        <w:spacing w:after="60" w:line="240" w:lineRule="auto"/>
      </w:pPr>
      <w:r>
        <w:t>School teams in the CSI model will complete the form with their NYSED lia</w:t>
      </w:r>
      <w:r w:rsidR="00C04F53">
        <w:t>ison.</w:t>
      </w:r>
      <w:r>
        <w:t xml:space="preserve">  </w:t>
      </w:r>
      <w:r w:rsidR="00B15301">
        <w:t xml:space="preserve">NYSED will only verify that the plan has met minimum </w:t>
      </w:r>
      <w:r>
        <w:t xml:space="preserve">expectations </w:t>
      </w:r>
      <w:r w:rsidR="00B15301">
        <w:t>if all of the indicators below have been met</w:t>
      </w:r>
      <w:r>
        <w:t xml:space="preserve">.  </w:t>
      </w:r>
    </w:p>
    <w:p w14:paraId="1F0F74ED" w14:textId="49A2BC85" w:rsidR="00493B1A" w:rsidRDefault="00683BC4" w:rsidP="00F65906">
      <w:pPr>
        <w:spacing w:after="60" w:line="240" w:lineRule="auto"/>
      </w:pPr>
      <w:r>
        <w:t>S</w:t>
      </w:r>
      <w:r w:rsidR="00562452">
        <w:t>chool teams</w:t>
      </w:r>
      <w:r>
        <w:t xml:space="preserve"> in the ATSI and TSI models </w:t>
      </w:r>
      <w:r w:rsidR="00562452">
        <w:t>are encouraged to complete the form with the District.</w:t>
      </w:r>
    </w:p>
    <w:tbl>
      <w:tblPr>
        <w:tblW w:w="10679" w:type="dxa"/>
        <w:tblInd w:w="98"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ayout w:type="fixed"/>
        <w:tblCellMar>
          <w:left w:w="0" w:type="dxa"/>
          <w:right w:w="0" w:type="dxa"/>
        </w:tblCellMar>
        <w:tblLook w:val="01E0" w:firstRow="1" w:lastRow="1" w:firstColumn="1" w:lastColumn="1" w:noHBand="0" w:noVBand="0"/>
      </w:tblPr>
      <w:tblGrid>
        <w:gridCol w:w="1830"/>
        <w:gridCol w:w="6619"/>
        <w:gridCol w:w="1067"/>
        <w:gridCol w:w="1163"/>
      </w:tblGrid>
      <w:tr w:rsidR="00562452" w14:paraId="1F2FDA80" w14:textId="4B52EE00" w:rsidTr="006C167D">
        <w:tc>
          <w:tcPr>
            <w:tcW w:w="8449" w:type="dxa"/>
            <w:gridSpan w:val="2"/>
            <w:shd w:val="clear" w:color="auto" w:fill="D9E2F3" w:themeFill="accent1" w:themeFillTint="33"/>
            <w:vAlign w:val="center"/>
          </w:tcPr>
          <w:p w14:paraId="086EEDE2" w14:textId="477CC8B7" w:rsidR="00562452" w:rsidRPr="00541034" w:rsidRDefault="006736FB" w:rsidP="00F65906">
            <w:pPr>
              <w:pStyle w:val="TableParagraph"/>
              <w:spacing w:before="120" w:after="120"/>
              <w:ind w:firstLine="165"/>
              <w:jc w:val="center"/>
              <w:rPr>
                <w:rFonts w:eastAsia="Arial" w:cs="Arial"/>
                <w:b/>
                <w:bCs/>
                <w:sz w:val="18"/>
                <w:szCs w:val="18"/>
              </w:rPr>
            </w:pPr>
            <w:r>
              <w:rPr>
                <w:rFonts w:eastAsia="Arial" w:cs="Arial"/>
                <w:b/>
                <w:bCs/>
                <w:spacing w:val="2"/>
                <w:sz w:val="18"/>
                <w:szCs w:val="18"/>
              </w:rPr>
              <w:t xml:space="preserve">MINIMUM </w:t>
            </w:r>
            <w:r w:rsidR="00562452" w:rsidRPr="00541034">
              <w:rPr>
                <w:rFonts w:eastAsia="Arial" w:cs="Arial"/>
                <w:b/>
                <w:bCs/>
                <w:spacing w:val="2"/>
                <w:sz w:val="18"/>
                <w:szCs w:val="18"/>
              </w:rPr>
              <w:t>EXPECTATIONS</w:t>
            </w:r>
          </w:p>
        </w:tc>
        <w:tc>
          <w:tcPr>
            <w:tcW w:w="1067" w:type="dxa"/>
            <w:shd w:val="clear" w:color="auto" w:fill="D9E2F3" w:themeFill="accent1" w:themeFillTint="33"/>
            <w:vAlign w:val="center"/>
          </w:tcPr>
          <w:p w14:paraId="3D688636" w14:textId="621C92FC" w:rsidR="00562452" w:rsidRDefault="006736FB" w:rsidP="00F65906">
            <w:pPr>
              <w:pStyle w:val="TableParagraph"/>
              <w:spacing w:before="120" w:after="120"/>
              <w:ind w:left="150"/>
              <w:jc w:val="center"/>
              <w:rPr>
                <w:rFonts w:eastAsia="Arial" w:cs="Arial"/>
                <w:b/>
                <w:bCs/>
                <w:sz w:val="16"/>
                <w:szCs w:val="16"/>
              </w:rPr>
            </w:pPr>
            <w:r>
              <w:rPr>
                <w:rFonts w:eastAsia="Arial" w:cs="Arial"/>
                <w:b/>
                <w:bCs/>
                <w:sz w:val="16"/>
                <w:szCs w:val="16"/>
              </w:rPr>
              <w:t xml:space="preserve">Revision Required to </w:t>
            </w:r>
            <w:r w:rsidR="004A105A">
              <w:rPr>
                <w:rFonts w:eastAsia="Arial" w:cs="Arial"/>
                <w:b/>
                <w:bCs/>
                <w:sz w:val="16"/>
                <w:szCs w:val="16"/>
              </w:rPr>
              <w:t xml:space="preserve">Meet </w:t>
            </w:r>
            <w:r>
              <w:rPr>
                <w:rFonts w:eastAsia="Arial" w:cs="Arial"/>
                <w:b/>
                <w:bCs/>
                <w:sz w:val="16"/>
                <w:szCs w:val="16"/>
              </w:rPr>
              <w:t>Minimum Expectation</w:t>
            </w:r>
          </w:p>
        </w:tc>
        <w:tc>
          <w:tcPr>
            <w:tcW w:w="1163" w:type="dxa"/>
            <w:shd w:val="clear" w:color="auto" w:fill="D9E2F3" w:themeFill="accent1" w:themeFillTint="33"/>
            <w:vAlign w:val="center"/>
          </w:tcPr>
          <w:p w14:paraId="22A89BF8" w14:textId="258D2DDF" w:rsidR="00562452" w:rsidRPr="007B6443" w:rsidRDefault="006736FB" w:rsidP="00F65906">
            <w:pPr>
              <w:pStyle w:val="TableParagraph"/>
              <w:spacing w:before="120" w:after="120"/>
              <w:ind w:left="150"/>
              <w:jc w:val="center"/>
              <w:rPr>
                <w:rFonts w:eastAsia="Arial" w:cs="Arial"/>
                <w:b/>
                <w:bCs/>
                <w:sz w:val="16"/>
                <w:szCs w:val="16"/>
              </w:rPr>
            </w:pPr>
            <w:r>
              <w:rPr>
                <w:rFonts w:eastAsia="Arial" w:cs="Arial"/>
                <w:b/>
                <w:bCs/>
                <w:sz w:val="16"/>
                <w:szCs w:val="16"/>
              </w:rPr>
              <w:t xml:space="preserve">Minimum </w:t>
            </w:r>
            <w:r w:rsidR="00562452">
              <w:rPr>
                <w:rFonts w:eastAsia="Arial" w:cs="Arial"/>
                <w:b/>
                <w:bCs/>
                <w:sz w:val="16"/>
                <w:szCs w:val="16"/>
              </w:rPr>
              <w:t>Expectation</w:t>
            </w:r>
            <w:r w:rsidR="00562452" w:rsidRPr="007B6443">
              <w:rPr>
                <w:rFonts w:eastAsia="Arial" w:cs="Arial"/>
                <w:b/>
                <w:bCs/>
                <w:sz w:val="16"/>
                <w:szCs w:val="16"/>
              </w:rPr>
              <w:t xml:space="preserve"> Met</w:t>
            </w:r>
          </w:p>
        </w:tc>
      </w:tr>
      <w:tr w:rsidR="006736FB" w14:paraId="074D8611" w14:textId="77777777" w:rsidTr="00B15301">
        <w:tc>
          <w:tcPr>
            <w:tcW w:w="1830" w:type="dxa"/>
            <w:shd w:val="clear" w:color="auto" w:fill="CCECFF"/>
            <w:vAlign w:val="center"/>
          </w:tcPr>
          <w:p w14:paraId="2496119F" w14:textId="3E3A5E11" w:rsidR="006736FB" w:rsidRPr="007B6443" w:rsidRDefault="006736FB" w:rsidP="00F65906">
            <w:pPr>
              <w:spacing w:before="120" w:after="120" w:line="240" w:lineRule="auto"/>
              <w:jc w:val="center"/>
              <w:rPr>
                <w:rFonts w:eastAsia="Arial" w:cs="Arial"/>
                <w:b/>
                <w:spacing w:val="2"/>
                <w:sz w:val="24"/>
                <w:szCs w:val="24"/>
              </w:rPr>
            </w:pPr>
            <w:r>
              <w:rPr>
                <w:rFonts w:eastAsia="Arial" w:cs="Arial"/>
                <w:b/>
                <w:spacing w:val="2"/>
                <w:sz w:val="24"/>
                <w:szCs w:val="24"/>
              </w:rPr>
              <w:t>Key Strategies</w:t>
            </w:r>
          </w:p>
        </w:tc>
        <w:tc>
          <w:tcPr>
            <w:tcW w:w="6619" w:type="dxa"/>
            <w:shd w:val="clear" w:color="auto" w:fill="EBF7FF"/>
            <w:vAlign w:val="center"/>
          </w:tcPr>
          <w:p w14:paraId="317D1E7D" w14:textId="77777777" w:rsidR="00F65906" w:rsidRDefault="00F65906" w:rsidP="00F65906">
            <w:pPr>
              <w:spacing w:before="120" w:after="120" w:line="240" w:lineRule="auto"/>
              <w:ind w:left="228"/>
            </w:pPr>
            <w:r>
              <w:t>The SCEP includes 2-5 Key Strategies:</w:t>
            </w:r>
          </w:p>
          <w:p w14:paraId="2807825F" w14:textId="5BC09FAB" w:rsidR="00F65906" w:rsidRDefault="00F65906" w:rsidP="00F65906">
            <w:pPr>
              <w:pStyle w:val="ListParagraph"/>
              <w:numPr>
                <w:ilvl w:val="0"/>
                <w:numId w:val="6"/>
              </w:numPr>
              <w:spacing w:after="0" w:line="240" w:lineRule="auto"/>
            </w:pPr>
            <w:r>
              <w:t>At least one must be Instructional; and</w:t>
            </w:r>
          </w:p>
          <w:p w14:paraId="08EDA5C4" w14:textId="377BDCD6" w:rsidR="00F65906" w:rsidRDefault="00F65906" w:rsidP="00F65906">
            <w:pPr>
              <w:pStyle w:val="ListParagraph"/>
              <w:numPr>
                <w:ilvl w:val="0"/>
                <w:numId w:val="6"/>
              </w:numPr>
              <w:spacing w:after="0" w:line="240" w:lineRule="auto"/>
            </w:pPr>
            <w:r>
              <w:t>Non-Instructional Key Strategies cannot outnumber Instructional Key Strategies.</w:t>
            </w:r>
          </w:p>
          <w:p w14:paraId="69B10624" w14:textId="4F0E6A06" w:rsidR="006736FB" w:rsidRPr="00AE6435" w:rsidRDefault="006736FB" w:rsidP="00F65906">
            <w:pPr>
              <w:spacing w:before="120" w:after="120" w:line="240" w:lineRule="auto"/>
              <w:ind w:left="228"/>
            </w:pPr>
            <w:r>
              <w:t>Each Key S</w:t>
            </w:r>
            <w:r w:rsidRPr="00AE6435">
              <w:t>trateg</w:t>
            </w:r>
            <w:r w:rsidR="00791D24">
              <w:t>y</w:t>
            </w:r>
            <w:r w:rsidRPr="00AE6435">
              <w:t xml:space="preserve"> </w:t>
            </w:r>
            <w:r w:rsidR="00791D24">
              <w:t>falls into</w:t>
            </w:r>
            <w:r w:rsidRPr="00AE6435">
              <w:t xml:space="preserve"> one of the following categories:</w:t>
            </w:r>
          </w:p>
          <w:p w14:paraId="0114AD3C" w14:textId="77777777" w:rsidR="00637169" w:rsidRDefault="00637169" w:rsidP="00637169">
            <w:pPr>
              <w:pStyle w:val="ListParagraph"/>
              <w:numPr>
                <w:ilvl w:val="0"/>
                <w:numId w:val="10"/>
              </w:numPr>
              <w:spacing w:after="0" w:line="240" w:lineRule="auto"/>
            </w:pPr>
            <w:r>
              <w:t>Something new to the school; or</w:t>
            </w:r>
          </w:p>
          <w:p w14:paraId="58000A73" w14:textId="479FAF75" w:rsidR="00637169" w:rsidRDefault="00637169" w:rsidP="00637169">
            <w:pPr>
              <w:pStyle w:val="ListParagraph"/>
              <w:numPr>
                <w:ilvl w:val="0"/>
                <w:numId w:val="10"/>
              </w:numPr>
              <w:spacing w:after="0" w:line="240" w:lineRule="auto"/>
            </w:pPr>
            <w:r>
              <w:t>An expansion of an existing practice to a wider audience; or</w:t>
            </w:r>
          </w:p>
          <w:p w14:paraId="2C2ED6B5" w14:textId="0F069A05" w:rsidR="006736FB" w:rsidRPr="00EB0EA8" w:rsidRDefault="00637169" w:rsidP="00637169">
            <w:pPr>
              <w:pStyle w:val="ListParagraph"/>
              <w:numPr>
                <w:ilvl w:val="0"/>
                <w:numId w:val="10"/>
              </w:numPr>
              <w:spacing w:after="0" w:line="240" w:lineRule="auto"/>
            </w:pPr>
            <w:r>
              <w:t>A refinement of an existing practice that will differ from previous years.</w:t>
            </w:r>
          </w:p>
        </w:tc>
        <w:tc>
          <w:tcPr>
            <w:tcW w:w="1067" w:type="dxa"/>
            <w:shd w:val="clear" w:color="auto" w:fill="EBF7FF"/>
            <w:vAlign w:val="center"/>
          </w:tcPr>
          <w:p w14:paraId="1BEF9E58" w14:textId="3095E020"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EBF7FF"/>
            <w:vAlign w:val="center"/>
          </w:tcPr>
          <w:p w14:paraId="529A5F79" w14:textId="00C40791"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r w:rsidR="006736FB" w14:paraId="646A26DA" w14:textId="77777777" w:rsidTr="00B15301">
        <w:tc>
          <w:tcPr>
            <w:tcW w:w="1830" w:type="dxa"/>
            <w:shd w:val="clear" w:color="auto" w:fill="CCECFF"/>
            <w:vAlign w:val="center"/>
          </w:tcPr>
          <w:p w14:paraId="2CDA8C0E" w14:textId="49C3AA1A" w:rsidR="006736FB" w:rsidRPr="007B6443" w:rsidRDefault="006736FB" w:rsidP="00F65906">
            <w:pPr>
              <w:spacing w:before="120" w:after="120" w:line="240" w:lineRule="auto"/>
              <w:jc w:val="center"/>
              <w:rPr>
                <w:rFonts w:eastAsia="Arial" w:cs="Arial"/>
                <w:b/>
                <w:spacing w:val="2"/>
                <w:sz w:val="24"/>
                <w:szCs w:val="24"/>
              </w:rPr>
            </w:pPr>
            <w:r>
              <w:rPr>
                <w:rFonts w:eastAsia="Arial" w:cs="Arial"/>
                <w:b/>
                <w:spacing w:val="2"/>
                <w:sz w:val="24"/>
                <w:szCs w:val="24"/>
              </w:rPr>
              <w:t>Key Strategies: Why?</w:t>
            </w:r>
          </w:p>
        </w:tc>
        <w:tc>
          <w:tcPr>
            <w:tcW w:w="6619" w:type="dxa"/>
            <w:shd w:val="clear" w:color="auto" w:fill="EBF7FF"/>
            <w:vAlign w:val="center"/>
          </w:tcPr>
          <w:p w14:paraId="48CD68D6" w14:textId="77777777" w:rsidR="00073193" w:rsidRDefault="00073193" w:rsidP="00073193">
            <w:pPr>
              <w:pStyle w:val="TableParagraph"/>
              <w:spacing w:after="120"/>
              <w:ind w:left="310"/>
            </w:pPr>
            <w:r>
              <w:t>The plan outlines the root cause analysis and specific data that informed the selection of the identified Key Strategies.</w:t>
            </w:r>
          </w:p>
          <w:p w14:paraId="0B3BAD71" w14:textId="77777777" w:rsidR="00073193" w:rsidRPr="00A44CF7" w:rsidRDefault="00073193" w:rsidP="00073193">
            <w:pPr>
              <w:pStyle w:val="TableParagraph"/>
              <w:spacing w:after="120"/>
              <w:ind w:left="310"/>
              <w:rPr>
                <w:b/>
                <w:bCs/>
              </w:rPr>
            </w:pPr>
            <w:r>
              <w:t xml:space="preserve">For strategies that are being expanded, the plan explains where the practice has been successful and how expanding implementation in the upcoming year will lead to improvement.  </w:t>
            </w:r>
          </w:p>
          <w:p w14:paraId="573BB48D" w14:textId="0B797769" w:rsidR="006736FB" w:rsidRPr="00EB0EA8" w:rsidRDefault="00073193" w:rsidP="00073193">
            <w:pPr>
              <w:pStyle w:val="TableParagraph"/>
              <w:spacing w:before="120" w:after="120"/>
              <w:ind w:left="310"/>
            </w:pPr>
            <w:r>
              <w:t>For strategies that are being refined, the plan explains the current practice and how modifying implementation in the upcoming year will lead to improvement</w:t>
            </w:r>
          </w:p>
        </w:tc>
        <w:tc>
          <w:tcPr>
            <w:tcW w:w="1067" w:type="dxa"/>
            <w:shd w:val="clear" w:color="auto" w:fill="EBF7FF"/>
            <w:vAlign w:val="center"/>
          </w:tcPr>
          <w:p w14:paraId="288A594B" w14:textId="761995C6"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EBF7FF"/>
            <w:vAlign w:val="center"/>
          </w:tcPr>
          <w:p w14:paraId="5E906471" w14:textId="4E93C27E"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r w:rsidR="006736FB" w14:paraId="05130B3D" w14:textId="77777777" w:rsidTr="00B15301">
        <w:tc>
          <w:tcPr>
            <w:tcW w:w="1830" w:type="dxa"/>
            <w:shd w:val="clear" w:color="auto" w:fill="E2EFD9" w:themeFill="accent6" w:themeFillTint="33"/>
            <w:vAlign w:val="center"/>
          </w:tcPr>
          <w:p w14:paraId="64E8E6A3" w14:textId="20A1D2A1" w:rsidR="006736FB" w:rsidRPr="007B6443" w:rsidRDefault="006736FB" w:rsidP="00F65906">
            <w:pPr>
              <w:spacing w:before="120" w:after="120" w:line="240" w:lineRule="auto"/>
              <w:jc w:val="center"/>
              <w:rPr>
                <w:rFonts w:eastAsia="Arial" w:cs="Arial"/>
                <w:b/>
                <w:spacing w:val="2"/>
                <w:sz w:val="24"/>
                <w:szCs w:val="24"/>
              </w:rPr>
            </w:pPr>
            <w:r>
              <w:rPr>
                <w:rFonts w:eastAsia="Arial" w:cs="Arial"/>
                <w:b/>
                <w:spacing w:val="2"/>
                <w:sz w:val="24"/>
                <w:szCs w:val="24"/>
              </w:rPr>
              <w:t>Implementation</w:t>
            </w:r>
          </w:p>
        </w:tc>
        <w:tc>
          <w:tcPr>
            <w:tcW w:w="6619" w:type="dxa"/>
            <w:shd w:val="clear" w:color="auto" w:fill="F1F7ED"/>
          </w:tcPr>
          <w:p w14:paraId="55E4EF0E" w14:textId="24444CD2" w:rsidR="006736FB" w:rsidRPr="00EB0EA8" w:rsidRDefault="003D0359" w:rsidP="003B6C4D">
            <w:pPr>
              <w:pStyle w:val="TableParagraph"/>
              <w:spacing w:before="120" w:after="120"/>
              <w:ind w:left="310"/>
            </w:pPr>
            <w:r w:rsidRPr="003D0359">
              <w:t>For each Key Strategy, the plan outlines a sequence of progressive steps detailing how activities will unfold throughout the year, including the progression of training and support.</w:t>
            </w:r>
          </w:p>
        </w:tc>
        <w:tc>
          <w:tcPr>
            <w:tcW w:w="1067" w:type="dxa"/>
            <w:shd w:val="clear" w:color="auto" w:fill="F1F7ED"/>
            <w:vAlign w:val="center"/>
          </w:tcPr>
          <w:p w14:paraId="4AB3BEE2" w14:textId="69579606"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F1F7ED"/>
            <w:vAlign w:val="center"/>
          </w:tcPr>
          <w:p w14:paraId="6CAEB2EC" w14:textId="602360EF"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r w:rsidR="006736FB" w14:paraId="68BFEBF8" w14:textId="77777777" w:rsidTr="00B15301">
        <w:tc>
          <w:tcPr>
            <w:tcW w:w="1830" w:type="dxa"/>
            <w:shd w:val="clear" w:color="auto" w:fill="FFF2CC" w:themeFill="accent4" w:themeFillTint="33"/>
            <w:vAlign w:val="center"/>
          </w:tcPr>
          <w:p w14:paraId="4194A689" w14:textId="6FCC994C" w:rsidR="006736FB" w:rsidRPr="006736FB" w:rsidRDefault="00A85A1D" w:rsidP="00F65906">
            <w:pPr>
              <w:spacing w:before="120" w:after="120" w:line="240" w:lineRule="auto"/>
              <w:jc w:val="center"/>
              <w:rPr>
                <w:rFonts w:eastAsia="Arial" w:cs="Arial"/>
                <w:b/>
                <w:bCs/>
                <w:spacing w:val="2"/>
                <w:sz w:val="24"/>
                <w:szCs w:val="24"/>
              </w:rPr>
            </w:pPr>
            <w:r>
              <w:rPr>
                <w:rFonts w:eastAsia="Arial" w:cs="Arial"/>
                <w:b/>
                <w:bCs/>
                <w:spacing w:val="2"/>
                <w:sz w:val="24"/>
                <w:szCs w:val="24"/>
              </w:rPr>
              <w:t>Progress Monitoring</w:t>
            </w:r>
          </w:p>
        </w:tc>
        <w:tc>
          <w:tcPr>
            <w:tcW w:w="6619" w:type="dxa"/>
            <w:shd w:val="clear" w:color="auto" w:fill="FFF9E7"/>
            <w:vAlign w:val="center"/>
          </w:tcPr>
          <w:p w14:paraId="5AB6A5CF" w14:textId="77777777" w:rsidR="00A85A1D" w:rsidRPr="00BC522E" w:rsidRDefault="00A85A1D" w:rsidP="003B6C4D">
            <w:pPr>
              <w:pStyle w:val="TableParagraph"/>
              <w:spacing w:after="120"/>
              <w:ind w:left="310"/>
              <w:rPr>
                <w:b/>
                <w:bCs/>
              </w:rPr>
            </w:pPr>
            <w:r w:rsidRPr="00BC522E">
              <w:t xml:space="preserve">Each Key Strategy includes at least one Early Progress Milestone directly aligned with it. </w:t>
            </w:r>
          </w:p>
          <w:p w14:paraId="2C03E47F" w14:textId="77777777" w:rsidR="00A85A1D" w:rsidRPr="00BC522E" w:rsidRDefault="00A85A1D" w:rsidP="003B6C4D">
            <w:pPr>
              <w:pStyle w:val="TableParagraph"/>
              <w:spacing w:after="120"/>
              <w:ind w:left="310"/>
              <w:rPr>
                <w:b/>
                <w:bCs/>
              </w:rPr>
            </w:pPr>
            <w:r w:rsidRPr="00BC522E">
              <w:t xml:space="preserve">Early Progress Milestones reflect changes that could reasonably occur as a result of the Key Strategy within 6-10 weeks. </w:t>
            </w:r>
          </w:p>
          <w:p w14:paraId="2C619E00" w14:textId="77777777" w:rsidR="00A85A1D" w:rsidRPr="00BC522E" w:rsidRDefault="00A85A1D" w:rsidP="003B6C4D">
            <w:pPr>
              <w:pStyle w:val="TableParagraph"/>
              <w:spacing w:after="120"/>
              <w:ind w:left="310"/>
              <w:rPr>
                <w:b/>
                <w:bCs/>
              </w:rPr>
            </w:pPr>
            <w:r w:rsidRPr="00BC522E">
              <w:t xml:space="preserve">Each Key Strategy has at least one Mid-Year Benchmark and one End-of-the-Year Target that will allow the school to determine the direct impact of that strategy. </w:t>
            </w:r>
          </w:p>
          <w:p w14:paraId="37F732E1" w14:textId="77777777" w:rsidR="00A85A1D" w:rsidRPr="00BC522E" w:rsidRDefault="00A85A1D" w:rsidP="003B6C4D">
            <w:pPr>
              <w:pStyle w:val="TableParagraph"/>
              <w:spacing w:after="120"/>
              <w:ind w:left="310"/>
              <w:rPr>
                <w:b/>
                <w:bCs/>
              </w:rPr>
            </w:pPr>
            <w:r w:rsidRPr="00BC522E">
              <w:t>There is clear alignment between the mid-year and end-of-year targets.  The Mid-Year Benchmark(s) will allow the school to know whether they are on track to achieve their End-of-the Year target(s).</w:t>
            </w:r>
          </w:p>
          <w:p w14:paraId="2167A327" w14:textId="77777777" w:rsidR="00A85A1D" w:rsidRPr="00BC522E" w:rsidRDefault="00A85A1D" w:rsidP="003B6C4D">
            <w:pPr>
              <w:pStyle w:val="TableParagraph"/>
              <w:spacing w:after="120"/>
              <w:ind w:left="310"/>
              <w:rPr>
                <w:b/>
                <w:bCs/>
              </w:rPr>
            </w:pPr>
            <w:r w:rsidRPr="00BC522E">
              <w:lastRenderedPageBreak/>
              <w:t>If previous data exists, the targets represent improvement over the most recent data.</w:t>
            </w:r>
          </w:p>
          <w:p w14:paraId="7EC59EBF" w14:textId="1FEAD89A" w:rsidR="006736FB" w:rsidRPr="005D7B55" w:rsidRDefault="00A85A1D" w:rsidP="003B6C4D">
            <w:pPr>
              <w:pStyle w:val="TableParagraph"/>
              <w:spacing w:before="120" w:after="120"/>
              <w:ind w:left="310"/>
            </w:pPr>
            <w:r w:rsidRPr="00BC522E">
              <w:t>For quantitative measures, the school has identified the measurement tool and the specific target they hope to achieve. For qualitative targets, the school has identified clearly observable improvements they will look for to determine success.</w:t>
            </w:r>
          </w:p>
        </w:tc>
        <w:tc>
          <w:tcPr>
            <w:tcW w:w="1067" w:type="dxa"/>
            <w:shd w:val="clear" w:color="auto" w:fill="FFF9E7"/>
            <w:vAlign w:val="center"/>
          </w:tcPr>
          <w:p w14:paraId="7E680270" w14:textId="03E01AF5" w:rsidR="006736FB" w:rsidRDefault="006736FB" w:rsidP="00F65906">
            <w:pPr>
              <w:pStyle w:val="TableParagraph"/>
              <w:spacing w:before="120" w:after="120"/>
              <w:ind w:left="150"/>
              <w:jc w:val="center"/>
              <w:rPr>
                <w:rFonts w:ascii="MS Gothic" w:eastAsia="MS Gothic"/>
              </w:rPr>
            </w:pPr>
            <w:r>
              <w:rPr>
                <w:rFonts w:ascii="MS Gothic" w:eastAsia="MS Gothic"/>
              </w:rPr>
              <w:lastRenderedPageBreak/>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FFF9E7"/>
            <w:vAlign w:val="center"/>
          </w:tcPr>
          <w:p w14:paraId="77328908" w14:textId="4776ECAA"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r w:rsidR="006736FB" w14:paraId="252E891F" w14:textId="77777777" w:rsidTr="00B15301">
        <w:tc>
          <w:tcPr>
            <w:tcW w:w="1830" w:type="dxa"/>
            <w:shd w:val="clear" w:color="auto" w:fill="FFF2CC" w:themeFill="accent4" w:themeFillTint="33"/>
            <w:vAlign w:val="center"/>
          </w:tcPr>
          <w:p w14:paraId="463BB774" w14:textId="5F1AE01F" w:rsidR="006736FB" w:rsidRPr="006736FB" w:rsidRDefault="00AD7475" w:rsidP="00F65906">
            <w:pPr>
              <w:spacing w:before="120" w:after="120" w:line="240" w:lineRule="auto"/>
              <w:jc w:val="center"/>
              <w:rPr>
                <w:rFonts w:eastAsia="Arial" w:cs="Arial"/>
                <w:b/>
                <w:bCs/>
                <w:spacing w:val="2"/>
                <w:sz w:val="24"/>
                <w:szCs w:val="24"/>
              </w:rPr>
            </w:pPr>
            <w:r>
              <w:rPr>
                <w:rFonts w:eastAsia="Arial" w:cs="Arial"/>
                <w:b/>
                <w:bCs/>
                <w:spacing w:val="2"/>
                <w:sz w:val="24"/>
                <w:szCs w:val="24"/>
              </w:rPr>
              <w:t>Performance Targets</w:t>
            </w:r>
          </w:p>
        </w:tc>
        <w:tc>
          <w:tcPr>
            <w:tcW w:w="6619" w:type="dxa"/>
            <w:shd w:val="clear" w:color="auto" w:fill="FFF9E7"/>
          </w:tcPr>
          <w:p w14:paraId="1DA0B39A" w14:textId="77777777" w:rsidR="00AD7475" w:rsidRPr="004D17EC" w:rsidRDefault="00AD7475" w:rsidP="003B6C4D">
            <w:pPr>
              <w:pStyle w:val="TableParagraph"/>
              <w:spacing w:before="120" w:after="120"/>
              <w:ind w:left="310"/>
              <w:rPr>
                <w:b/>
                <w:bCs/>
              </w:rPr>
            </w:pPr>
            <w:r w:rsidRPr="004D17EC">
              <w:t>The plan includes Mid-Year Benchmark and End-of-Year</w:t>
            </w:r>
            <w:r>
              <w:rPr>
                <w:b/>
                <w:bCs/>
              </w:rPr>
              <w:t xml:space="preserve"> Performance Targets </w:t>
            </w:r>
            <w:r w:rsidRPr="004D17EC">
              <w:t>that identif</w:t>
            </w:r>
            <w:r w:rsidRPr="004A07AF">
              <w:t>y</w:t>
            </w:r>
            <w:r w:rsidRPr="004D17EC">
              <w:t xml:space="preserve"> the</w:t>
            </w:r>
            <w:r>
              <w:t xml:space="preserve"> overall</w:t>
            </w:r>
            <w:r w:rsidRPr="004D17EC">
              <w:t xml:space="preserve"> improvements in </w:t>
            </w:r>
            <w:r>
              <w:rPr>
                <w:b/>
                <w:bCs/>
              </w:rPr>
              <w:t xml:space="preserve">student outcomes </w:t>
            </w:r>
            <w:r w:rsidRPr="004D17EC">
              <w:t xml:space="preserve">from the </w:t>
            </w:r>
            <w:r>
              <w:t xml:space="preserve">combined </w:t>
            </w:r>
            <w:r w:rsidRPr="004D17EC">
              <w:t xml:space="preserve">impact of </w:t>
            </w:r>
            <w:r w:rsidRPr="004A07AF">
              <w:t>the Instructional/ Non-Instructional</w:t>
            </w:r>
            <w:r>
              <w:rPr>
                <w:b/>
                <w:bCs/>
              </w:rPr>
              <w:t xml:space="preserve"> </w:t>
            </w:r>
            <w:r w:rsidRPr="004D17EC">
              <w:t>Key Strategies.</w:t>
            </w:r>
          </w:p>
          <w:p w14:paraId="3916D338" w14:textId="77777777" w:rsidR="00AD7475" w:rsidRPr="004D17EC" w:rsidRDefault="00AD7475" w:rsidP="003B6C4D">
            <w:pPr>
              <w:pStyle w:val="TableParagraph"/>
              <w:spacing w:before="120" w:after="120"/>
              <w:ind w:left="310"/>
              <w:rPr>
                <w:b/>
                <w:bCs/>
              </w:rPr>
            </w:pPr>
            <w:r w:rsidRPr="004D17EC">
              <w:t>There is clear alignment between the mid-year and end-of-year targets.  The Mid-Year Benchmark(s) will allow the school to know whether they are on track to achieve their End-of-the Year target(s).</w:t>
            </w:r>
          </w:p>
          <w:p w14:paraId="3BB1CEA1" w14:textId="77777777" w:rsidR="00AD7475" w:rsidRPr="00CE4268" w:rsidRDefault="00AD7475" w:rsidP="003B6C4D">
            <w:pPr>
              <w:pStyle w:val="TableParagraph"/>
              <w:spacing w:before="120" w:after="120"/>
              <w:ind w:left="310"/>
              <w:rPr>
                <w:b/>
                <w:bCs/>
              </w:rPr>
            </w:pPr>
            <w:r w:rsidRPr="004D17EC">
              <w:t>Targets are ambitious to move the school forward (if previous data exists, the targets represent improvement over the most recent data).  Targets are also realistic based on historical trends.</w:t>
            </w:r>
          </w:p>
          <w:p w14:paraId="7BF9C3DD" w14:textId="4F68AACA" w:rsidR="006736FB" w:rsidRPr="005D7B55" w:rsidRDefault="00AD7475" w:rsidP="003B6C4D">
            <w:pPr>
              <w:pStyle w:val="TableParagraph"/>
              <w:spacing w:before="120" w:after="120"/>
              <w:ind w:left="310"/>
            </w:pPr>
            <w:r>
              <w:rPr>
                <w:bCs/>
              </w:rPr>
              <w:t>T</w:t>
            </w:r>
            <w:r w:rsidRPr="00CE4268">
              <w:rPr>
                <w:bCs/>
              </w:rPr>
              <w:t xml:space="preserve">he school has identified the measurement tool and the specific target they hope to achieve when reviewing their data. </w:t>
            </w:r>
          </w:p>
        </w:tc>
        <w:tc>
          <w:tcPr>
            <w:tcW w:w="1067" w:type="dxa"/>
            <w:shd w:val="clear" w:color="auto" w:fill="FFF9E7"/>
            <w:vAlign w:val="center"/>
          </w:tcPr>
          <w:p w14:paraId="37DBF69D" w14:textId="62412DCF"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FFF9E7"/>
            <w:vAlign w:val="center"/>
          </w:tcPr>
          <w:p w14:paraId="0C90AC4C" w14:textId="79875615"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r w:rsidR="006736FB" w14:paraId="4E407DB5" w14:textId="77777777" w:rsidTr="00B15301">
        <w:tc>
          <w:tcPr>
            <w:tcW w:w="1830" w:type="dxa"/>
            <w:shd w:val="clear" w:color="auto" w:fill="FFF2CC" w:themeFill="accent4" w:themeFillTint="33"/>
            <w:vAlign w:val="center"/>
          </w:tcPr>
          <w:p w14:paraId="6F5185F6" w14:textId="3C1E51BC" w:rsidR="006736FB" w:rsidRPr="006736FB" w:rsidRDefault="006736FB" w:rsidP="00F65906">
            <w:pPr>
              <w:spacing w:before="120" w:after="120" w:line="240" w:lineRule="auto"/>
              <w:jc w:val="center"/>
              <w:rPr>
                <w:rFonts w:eastAsia="Arial" w:cs="Arial"/>
                <w:b/>
                <w:bCs/>
                <w:spacing w:val="2"/>
                <w:sz w:val="24"/>
                <w:szCs w:val="24"/>
              </w:rPr>
            </w:pPr>
            <w:r w:rsidRPr="006736FB">
              <w:rPr>
                <w:rFonts w:eastAsia="Arial" w:cs="Arial"/>
                <w:b/>
                <w:bCs/>
                <w:spacing w:val="2"/>
                <w:sz w:val="24"/>
                <w:szCs w:val="24"/>
              </w:rPr>
              <w:t>Spring Survey Targets</w:t>
            </w:r>
          </w:p>
        </w:tc>
        <w:tc>
          <w:tcPr>
            <w:tcW w:w="6619" w:type="dxa"/>
            <w:shd w:val="clear" w:color="auto" w:fill="FFF9E7"/>
            <w:vAlign w:val="center"/>
          </w:tcPr>
          <w:p w14:paraId="42C5364B" w14:textId="77777777" w:rsidR="00E34C47" w:rsidRPr="0002626D" w:rsidRDefault="00E34C47" w:rsidP="003B6C4D">
            <w:pPr>
              <w:pStyle w:val="TableParagraph"/>
              <w:spacing w:before="120" w:after="120"/>
              <w:ind w:left="310"/>
              <w:rPr>
                <w:b/>
                <w:bCs/>
              </w:rPr>
            </w:pPr>
            <w:r w:rsidRPr="0002626D">
              <w:t>The plan includes at least one Spring Survey Target designed to indicate change in stakeholder perceptions.</w:t>
            </w:r>
          </w:p>
          <w:p w14:paraId="22C0BD67" w14:textId="77777777" w:rsidR="00E34C47" w:rsidRPr="0002626D" w:rsidRDefault="00E34C47" w:rsidP="003B6C4D">
            <w:pPr>
              <w:pStyle w:val="TableParagraph"/>
              <w:spacing w:before="120" w:after="120"/>
              <w:ind w:left="310"/>
              <w:rPr>
                <w:b/>
                <w:bCs/>
              </w:rPr>
            </w:pPr>
            <w:r w:rsidRPr="0002626D">
              <w:t>Responses to the question(s) identified clearly connect to the strategies in the plan.</w:t>
            </w:r>
          </w:p>
          <w:p w14:paraId="258D3098" w14:textId="572EF04F" w:rsidR="006736FB" w:rsidRPr="005D7B55" w:rsidRDefault="00E34C47" w:rsidP="003B6C4D">
            <w:pPr>
              <w:pStyle w:val="TableParagraph"/>
              <w:spacing w:before="120" w:after="120"/>
              <w:ind w:left="310"/>
            </w:pPr>
            <w:r w:rsidRPr="0002626D">
              <w:t>If previous data is available, the desired responses represent improvement over previous responses.</w:t>
            </w:r>
          </w:p>
        </w:tc>
        <w:tc>
          <w:tcPr>
            <w:tcW w:w="1067" w:type="dxa"/>
            <w:shd w:val="clear" w:color="auto" w:fill="FFF9E7"/>
            <w:vAlign w:val="center"/>
          </w:tcPr>
          <w:p w14:paraId="348E055F" w14:textId="225F7546"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FFF9E7"/>
            <w:vAlign w:val="center"/>
          </w:tcPr>
          <w:p w14:paraId="4770D24C" w14:textId="4322C84F"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r w:rsidR="006736FB" w14:paraId="569D58D6" w14:textId="77777777" w:rsidTr="00B15301">
        <w:tc>
          <w:tcPr>
            <w:tcW w:w="1830" w:type="dxa"/>
            <w:shd w:val="clear" w:color="auto" w:fill="F9D9CF"/>
            <w:vAlign w:val="center"/>
          </w:tcPr>
          <w:p w14:paraId="0768ABB8" w14:textId="53CAC6E9" w:rsidR="006736FB" w:rsidRPr="007B6443" w:rsidRDefault="006736FB" w:rsidP="00F65906">
            <w:pPr>
              <w:spacing w:before="120" w:after="120" w:line="240" w:lineRule="auto"/>
              <w:jc w:val="center"/>
              <w:rPr>
                <w:rFonts w:eastAsia="Arial" w:cs="Arial"/>
                <w:b/>
                <w:spacing w:val="2"/>
                <w:sz w:val="24"/>
                <w:szCs w:val="24"/>
              </w:rPr>
            </w:pPr>
            <w:r>
              <w:rPr>
                <w:rFonts w:eastAsia="Arial" w:cs="Arial"/>
                <w:b/>
                <w:spacing w:val="2"/>
                <w:sz w:val="24"/>
                <w:szCs w:val="24"/>
              </w:rPr>
              <w:t>Our Team’s Process</w:t>
            </w:r>
          </w:p>
        </w:tc>
        <w:tc>
          <w:tcPr>
            <w:tcW w:w="6619" w:type="dxa"/>
            <w:shd w:val="clear" w:color="auto" w:fill="FFEBEB"/>
            <w:vAlign w:val="center"/>
          </w:tcPr>
          <w:p w14:paraId="4EDF6E03" w14:textId="77777777" w:rsidR="00822525" w:rsidRPr="00CE4268" w:rsidRDefault="00822525" w:rsidP="003B6C4D">
            <w:pPr>
              <w:pStyle w:val="TableParagraph"/>
              <w:spacing w:before="120" w:after="120"/>
              <w:ind w:left="310"/>
              <w:rPr>
                <w:b/>
                <w:bCs/>
                <w:color w:val="000000" w:themeColor="text1"/>
              </w:rPr>
            </w:pPr>
            <w:r w:rsidRPr="001E750C">
              <w:rPr>
                <w:color w:val="000000" w:themeColor="text1"/>
              </w:rPr>
              <w:t>School leaders, teachers, and at least two parents/persons in parental relation who are not employees of the school have directly contributed to the plan and are listed within it.</w:t>
            </w:r>
          </w:p>
          <w:p w14:paraId="5590664B" w14:textId="4BA8C0D6" w:rsidR="006736FB" w:rsidRPr="003B6C4D" w:rsidRDefault="00822525" w:rsidP="003B6C4D">
            <w:pPr>
              <w:pStyle w:val="TableParagraph"/>
              <w:spacing w:before="120" w:after="120"/>
              <w:ind w:left="310"/>
              <w:rPr>
                <w:b/>
                <w:bCs/>
                <w:color w:val="000000" w:themeColor="text1"/>
              </w:rPr>
            </w:pPr>
            <w:r w:rsidRPr="00283C62">
              <w:rPr>
                <w:color w:val="000000" w:themeColor="text1"/>
              </w:rPr>
              <w:t xml:space="preserve">At least one parent and two teachers </w:t>
            </w:r>
            <w:r>
              <w:rPr>
                <w:color w:val="000000" w:themeColor="text1"/>
              </w:rPr>
              <w:t>participated in the Needs Assessment activities and a</w:t>
            </w:r>
            <w:r w:rsidRPr="00283C62">
              <w:rPr>
                <w:color w:val="000000" w:themeColor="text1"/>
              </w:rPr>
              <w:t>ttend</w:t>
            </w:r>
            <w:r>
              <w:rPr>
                <w:color w:val="000000" w:themeColor="text1"/>
              </w:rPr>
              <w:t>ed</w:t>
            </w:r>
            <w:r w:rsidRPr="00283C62">
              <w:rPr>
                <w:color w:val="000000" w:themeColor="text1"/>
              </w:rPr>
              <w:t xml:space="preserve"> at least one of the </w:t>
            </w:r>
            <w:r>
              <w:rPr>
                <w:color w:val="000000" w:themeColor="text1"/>
              </w:rPr>
              <w:t xml:space="preserve">plan writing </w:t>
            </w:r>
            <w:r w:rsidRPr="00283C62">
              <w:rPr>
                <w:color w:val="000000" w:themeColor="text1"/>
              </w:rPr>
              <w:t>meetings</w:t>
            </w:r>
            <w:r>
              <w:rPr>
                <w:color w:val="000000" w:themeColor="text1"/>
              </w:rPr>
              <w:t>.</w:t>
            </w:r>
          </w:p>
        </w:tc>
        <w:tc>
          <w:tcPr>
            <w:tcW w:w="1067" w:type="dxa"/>
            <w:shd w:val="clear" w:color="auto" w:fill="FFEBEB"/>
            <w:vAlign w:val="center"/>
          </w:tcPr>
          <w:p w14:paraId="1FB12AC8" w14:textId="1B221278"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FFEBEB"/>
            <w:vAlign w:val="center"/>
          </w:tcPr>
          <w:p w14:paraId="6AC304D5" w14:textId="052B4343"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r w:rsidR="006736FB" w14:paraId="43BDB25D" w14:textId="77777777" w:rsidTr="00B15301">
        <w:tc>
          <w:tcPr>
            <w:tcW w:w="1830" w:type="dxa"/>
            <w:shd w:val="clear" w:color="auto" w:fill="E2EFD9" w:themeFill="accent6" w:themeFillTint="33"/>
            <w:vAlign w:val="center"/>
          </w:tcPr>
          <w:p w14:paraId="6C352085" w14:textId="671F4A5B" w:rsidR="006736FB" w:rsidRPr="007B6443" w:rsidRDefault="006736FB" w:rsidP="00F65906">
            <w:pPr>
              <w:spacing w:before="120" w:after="120" w:line="240" w:lineRule="auto"/>
              <w:jc w:val="center"/>
              <w:rPr>
                <w:rFonts w:eastAsia="Arial" w:cs="Arial"/>
                <w:b/>
                <w:spacing w:val="2"/>
                <w:sz w:val="24"/>
                <w:szCs w:val="24"/>
              </w:rPr>
            </w:pPr>
            <w:r w:rsidRPr="007B6443">
              <w:rPr>
                <w:rFonts w:eastAsia="Arial" w:cs="Arial"/>
                <w:b/>
                <w:spacing w:val="2"/>
                <w:sz w:val="24"/>
                <w:szCs w:val="24"/>
              </w:rPr>
              <w:t>Learning as a Team</w:t>
            </w:r>
          </w:p>
        </w:tc>
        <w:tc>
          <w:tcPr>
            <w:tcW w:w="6619" w:type="dxa"/>
            <w:shd w:val="clear" w:color="auto" w:fill="EFF6EA"/>
            <w:vAlign w:val="center"/>
          </w:tcPr>
          <w:p w14:paraId="4D2D757E" w14:textId="51DE5AD4" w:rsidR="006736FB" w:rsidRPr="005D7B55" w:rsidRDefault="006736FB" w:rsidP="003B6C4D">
            <w:pPr>
              <w:pStyle w:val="TableParagraph"/>
              <w:spacing w:before="120" w:after="120"/>
              <w:ind w:left="310"/>
            </w:pPr>
            <w:r w:rsidRPr="005D7B55">
              <w:t>The plan describes when the school team completed the Envision-Analyze-Listen Needs Assessment and identifies how the Student Interviews informed the plan.</w:t>
            </w:r>
          </w:p>
        </w:tc>
        <w:tc>
          <w:tcPr>
            <w:tcW w:w="1067" w:type="dxa"/>
            <w:shd w:val="clear" w:color="auto" w:fill="EFF6EA"/>
            <w:vAlign w:val="center"/>
          </w:tcPr>
          <w:p w14:paraId="5C434968" w14:textId="1DCDBF2B"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EFF6EA"/>
            <w:vAlign w:val="center"/>
          </w:tcPr>
          <w:p w14:paraId="64014142" w14:textId="7CD3968B"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r w:rsidR="006736FB" w14:paraId="3DF87DBD" w14:textId="492E0244" w:rsidTr="73D3485B">
        <w:tc>
          <w:tcPr>
            <w:tcW w:w="1830" w:type="dxa"/>
            <w:shd w:val="clear" w:color="auto" w:fill="F7CAAC" w:themeFill="accent2" w:themeFillTint="66"/>
            <w:vAlign w:val="center"/>
          </w:tcPr>
          <w:p w14:paraId="1D6BCB01" w14:textId="0E704C11" w:rsidR="006736FB" w:rsidRPr="007B6443" w:rsidRDefault="006736FB" w:rsidP="00F65906">
            <w:pPr>
              <w:spacing w:before="120" w:after="120" w:line="240" w:lineRule="auto"/>
              <w:jc w:val="center"/>
              <w:rPr>
                <w:rFonts w:eastAsia="Arial" w:cs="Arial"/>
                <w:b/>
                <w:sz w:val="24"/>
                <w:szCs w:val="24"/>
              </w:rPr>
            </w:pPr>
            <w:r w:rsidRPr="007B6443">
              <w:rPr>
                <w:rFonts w:eastAsia="Arial" w:cs="Arial"/>
                <w:b/>
                <w:sz w:val="24"/>
                <w:szCs w:val="24"/>
              </w:rPr>
              <w:t>Evidence-Based Intervention</w:t>
            </w:r>
          </w:p>
        </w:tc>
        <w:tc>
          <w:tcPr>
            <w:tcW w:w="6619" w:type="dxa"/>
            <w:shd w:val="clear" w:color="auto" w:fill="FCE9DC"/>
            <w:vAlign w:val="center"/>
          </w:tcPr>
          <w:p w14:paraId="4B57B59C" w14:textId="68CE00E9" w:rsidR="006736FB" w:rsidRPr="005D7B55" w:rsidRDefault="00440867" w:rsidP="003B6C4D">
            <w:pPr>
              <w:pStyle w:val="TableParagraph"/>
              <w:spacing w:before="120" w:after="120"/>
              <w:ind w:left="310"/>
            </w:pPr>
            <w:r>
              <w:t>The plan identifies at least one Evidence-Based Intervention that meets the definition under ESSA.</w:t>
            </w:r>
          </w:p>
        </w:tc>
        <w:tc>
          <w:tcPr>
            <w:tcW w:w="1067" w:type="dxa"/>
            <w:shd w:val="clear" w:color="auto" w:fill="FCE9DC"/>
            <w:vAlign w:val="center"/>
          </w:tcPr>
          <w:p w14:paraId="433337D8" w14:textId="792B86BF"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FCE9DC"/>
            <w:vAlign w:val="center"/>
          </w:tcPr>
          <w:p w14:paraId="7EDF101D" w14:textId="1C63FED0" w:rsidR="006736FB" w:rsidRDefault="006736FB" w:rsidP="00F65906">
            <w:pPr>
              <w:pStyle w:val="TableParagraph"/>
              <w:spacing w:before="120" w:after="120"/>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bl>
    <w:p w14:paraId="338E7792" w14:textId="7B73D181" w:rsidR="006736FB" w:rsidRDefault="006736FB" w:rsidP="00F65906">
      <w:pPr>
        <w:pStyle w:val="Heading1"/>
        <w:spacing w:before="60" w:line="240" w:lineRule="auto"/>
      </w:pPr>
      <w:r>
        <w:t>Schools in the CSI models</w:t>
      </w:r>
    </w:p>
    <w:tbl>
      <w:tblPr>
        <w:tblW w:w="10679" w:type="dxa"/>
        <w:tblInd w:w="98"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ayout w:type="fixed"/>
        <w:tblCellMar>
          <w:left w:w="0" w:type="dxa"/>
          <w:right w:w="0" w:type="dxa"/>
        </w:tblCellMar>
        <w:tblLook w:val="01E0" w:firstRow="1" w:lastRow="1" w:firstColumn="1" w:lastColumn="1" w:noHBand="0" w:noVBand="0"/>
      </w:tblPr>
      <w:tblGrid>
        <w:gridCol w:w="1830"/>
        <w:gridCol w:w="6619"/>
        <w:gridCol w:w="1067"/>
        <w:gridCol w:w="1163"/>
      </w:tblGrid>
      <w:tr w:rsidR="006736FB" w14:paraId="0E6F76E1" w14:textId="77777777" w:rsidTr="00B15301">
        <w:trPr>
          <w:trHeight w:hRule="exact" w:val="1401"/>
        </w:trPr>
        <w:tc>
          <w:tcPr>
            <w:tcW w:w="1830" w:type="dxa"/>
            <w:shd w:val="clear" w:color="auto" w:fill="BFBFBF" w:themeFill="background1" w:themeFillShade="BF"/>
            <w:vAlign w:val="center"/>
          </w:tcPr>
          <w:p w14:paraId="5AC217F5" w14:textId="77777777" w:rsidR="006736FB" w:rsidRDefault="006736FB" w:rsidP="00F65906">
            <w:pPr>
              <w:spacing w:after="0" w:line="240" w:lineRule="auto"/>
              <w:jc w:val="center"/>
              <w:rPr>
                <w:rFonts w:eastAsia="Arial" w:cs="Arial"/>
                <w:b/>
                <w:spacing w:val="2"/>
                <w:sz w:val="24"/>
                <w:szCs w:val="24"/>
              </w:rPr>
            </w:pPr>
            <w:r>
              <w:rPr>
                <w:rFonts w:eastAsia="Arial" w:cs="Arial"/>
                <w:b/>
                <w:spacing w:val="2"/>
                <w:sz w:val="24"/>
                <w:szCs w:val="24"/>
              </w:rPr>
              <w:t>Civic Empowerment Project</w:t>
            </w:r>
          </w:p>
          <w:p w14:paraId="2DCB7680" w14:textId="1FDEB04C" w:rsidR="006736FB" w:rsidRPr="007B6443" w:rsidRDefault="006736FB" w:rsidP="00F65906">
            <w:pPr>
              <w:spacing w:after="0" w:line="240" w:lineRule="auto"/>
              <w:jc w:val="center"/>
              <w:rPr>
                <w:rFonts w:eastAsia="Arial" w:cs="Arial"/>
                <w:b/>
                <w:spacing w:val="2"/>
                <w:sz w:val="24"/>
                <w:szCs w:val="24"/>
              </w:rPr>
            </w:pPr>
            <w:r>
              <w:rPr>
                <w:rFonts w:eastAsia="Arial" w:cs="Arial"/>
                <w:b/>
                <w:spacing w:val="2"/>
                <w:sz w:val="24"/>
                <w:szCs w:val="24"/>
              </w:rPr>
              <w:t>(CSI)</w:t>
            </w:r>
          </w:p>
        </w:tc>
        <w:tc>
          <w:tcPr>
            <w:tcW w:w="6619" w:type="dxa"/>
            <w:shd w:val="clear" w:color="auto" w:fill="EAEAEA"/>
            <w:vAlign w:val="center"/>
          </w:tcPr>
          <w:p w14:paraId="718DE1C4" w14:textId="6E32E1E4" w:rsidR="006736FB" w:rsidRPr="005D7B55" w:rsidRDefault="006736FB" w:rsidP="00F65906">
            <w:pPr>
              <w:pStyle w:val="TableParagraph"/>
              <w:ind w:left="150"/>
            </w:pPr>
            <w:r w:rsidRPr="005D7B55">
              <w:t xml:space="preserve">The plan </w:t>
            </w:r>
            <w:r>
              <w:t>identifies the Civic Empowerment Project the school has selected for the 202</w:t>
            </w:r>
            <w:r w:rsidR="00AE54DF">
              <w:t>5</w:t>
            </w:r>
            <w:r>
              <w:t>-2</w:t>
            </w:r>
            <w:r w:rsidR="00AE54DF">
              <w:t>6</w:t>
            </w:r>
            <w:r>
              <w:t xml:space="preserve"> school year.  </w:t>
            </w:r>
          </w:p>
        </w:tc>
        <w:tc>
          <w:tcPr>
            <w:tcW w:w="1067" w:type="dxa"/>
            <w:shd w:val="clear" w:color="auto" w:fill="EAEAEA"/>
            <w:vAlign w:val="center"/>
          </w:tcPr>
          <w:p w14:paraId="6B1B112A" w14:textId="77777777" w:rsidR="006736FB" w:rsidRDefault="006736FB" w:rsidP="00F65906">
            <w:pPr>
              <w:pStyle w:val="TableParagraph"/>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EAEAEA"/>
            <w:vAlign w:val="center"/>
          </w:tcPr>
          <w:p w14:paraId="086E66EE" w14:textId="77777777" w:rsidR="006736FB" w:rsidRDefault="006736FB" w:rsidP="00F65906">
            <w:pPr>
              <w:pStyle w:val="TableParagraph"/>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bl>
    <w:p w14:paraId="7B061632" w14:textId="77777777" w:rsidR="006736FB" w:rsidRDefault="006736FB" w:rsidP="00F65906">
      <w:pPr>
        <w:pStyle w:val="Heading1"/>
        <w:spacing w:before="60" w:line="240" w:lineRule="auto"/>
      </w:pPr>
    </w:p>
    <w:p w14:paraId="27F7D838" w14:textId="6EB3991E" w:rsidR="00B31B79" w:rsidRDefault="00B31B79" w:rsidP="00F65906">
      <w:pPr>
        <w:pStyle w:val="Heading1"/>
        <w:spacing w:before="60" w:line="240" w:lineRule="auto"/>
      </w:pPr>
      <w:r>
        <w:t>Schools in the ASTI and TSI models</w:t>
      </w:r>
    </w:p>
    <w:tbl>
      <w:tblPr>
        <w:tblW w:w="10679" w:type="dxa"/>
        <w:tblInd w:w="98"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ayout w:type="fixed"/>
        <w:tblCellMar>
          <w:left w:w="0" w:type="dxa"/>
          <w:right w:w="0" w:type="dxa"/>
        </w:tblCellMar>
        <w:tblLook w:val="01E0" w:firstRow="1" w:lastRow="1" w:firstColumn="1" w:lastColumn="1" w:noHBand="0" w:noVBand="0"/>
      </w:tblPr>
      <w:tblGrid>
        <w:gridCol w:w="1830"/>
        <w:gridCol w:w="6619"/>
        <w:gridCol w:w="1067"/>
        <w:gridCol w:w="1163"/>
      </w:tblGrid>
      <w:tr w:rsidR="00B31B79" w14:paraId="670A42F2" w14:textId="77777777" w:rsidTr="00AE54DF">
        <w:trPr>
          <w:trHeight w:hRule="exact" w:val="1725"/>
        </w:trPr>
        <w:tc>
          <w:tcPr>
            <w:tcW w:w="1830" w:type="dxa"/>
            <w:shd w:val="clear" w:color="auto" w:fill="BFBFBF" w:themeFill="background1" w:themeFillShade="BF"/>
            <w:vAlign w:val="center"/>
          </w:tcPr>
          <w:p w14:paraId="1BEB2933" w14:textId="77777777" w:rsidR="00B31B79" w:rsidRDefault="00B31B79" w:rsidP="00F65906">
            <w:pPr>
              <w:spacing w:after="0" w:line="240" w:lineRule="auto"/>
              <w:jc w:val="center"/>
              <w:rPr>
                <w:rFonts w:eastAsia="Arial" w:cs="Arial"/>
                <w:b/>
                <w:spacing w:val="2"/>
                <w:sz w:val="24"/>
                <w:szCs w:val="24"/>
              </w:rPr>
            </w:pPr>
            <w:r>
              <w:rPr>
                <w:rFonts w:eastAsia="Arial" w:cs="Arial"/>
                <w:b/>
                <w:spacing w:val="2"/>
                <w:sz w:val="24"/>
                <w:szCs w:val="24"/>
              </w:rPr>
              <w:t xml:space="preserve">Subgroup </w:t>
            </w:r>
          </w:p>
          <w:p w14:paraId="03191F1C" w14:textId="77777777" w:rsidR="00B31B79" w:rsidRDefault="00B31B79" w:rsidP="00F65906">
            <w:pPr>
              <w:spacing w:after="0" w:line="240" w:lineRule="auto"/>
              <w:jc w:val="center"/>
              <w:rPr>
                <w:rFonts w:eastAsia="Arial" w:cs="Arial"/>
                <w:b/>
                <w:spacing w:val="2"/>
                <w:sz w:val="24"/>
                <w:szCs w:val="24"/>
              </w:rPr>
            </w:pPr>
            <w:r>
              <w:rPr>
                <w:rFonts w:eastAsia="Arial" w:cs="Arial"/>
                <w:b/>
                <w:spacing w:val="2"/>
                <w:sz w:val="24"/>
                <w:szCs w:val="24"/>
              </w:rPr>
              <w:t xml:space="preserve">Success </w:t>
            </w:r>
          </w:p>
          <w:p w14:paraId="2798459F" w14:textId="0FB7392D" w:rsidR="00B31B79" w:rsidRPr="007B6443" w:rsidRDefault="00B31B79" w:rsidP="00F65906">
            <w:pPr>
              <w:spacing w:after="0" w:line="240" w:lineRule="auto"/>
              <w:jc w:val="center"/>
              <w:rPr>
                <w:rFonts w:eastAsia="Arial" w:cs="Arial"/>
                <w:b/>
                <w:spacing w:val="2"/>
                <w:sz w:val="24"/>
                <w:szCs w:val="24"/>
              </w:rPr>
            </w:pPr>
            <w:r>
              <w:rPr>
                <w:rFonts w:eastAsia="Arial" w:cs="Arial"/>
                <w:b/>
                <w:spacing w:val="2"/>
                <w:sz w:val="24"/>
                <w:szCs w:val="24"/>
              </w:rPr>
              <w:t>(ATSI and TSI)</w:t>
            </w:r>
          </w:p>
        </w:tc>
        <w:tc>
          <w:tcPr>
            <w:tcW w:w="6619" w:type="dxa"/>
            <w:shd w:val="clear" w:color="auto" w:fill="EAEAEA"/>
            <w:vAlign w:val="center"/>
          </w:tcPr>
          <w:p w14:paraId="6F353D00" w14:textId="77777777" w:rsidR="00B31B79" w:rsidRDefault="00B31B79" w:rsidP="00F65906">
            <w:pPr>
              <w:pStyle w:val="TableParagraph"/>
              <w:ind w:left="150"/>
            </w:pPr>
            <w:r w:rsidRPr="005D7B55">
              <w:t xml:space="preserve">The plan </w:t>
            </w:r>
            <w:r>
              <w:t>identifies str</w:t>
            </w:r>
            <w:r w:rsidRPr="005D7B55">
              <w:t>a</w:t>
            </w:r>
            <w:r>
              <w:t>tegies that will support success for the subgroup(s) identified for ATSI or TSI.</w:t>
            </w:r>
            <w:r w:rsidRPr="005D7B55">
              <w:t xml:space="preserve">  </w:t>
            </w:r>
          </w:p>
          <w:p w14:paraId="68B5655B" w14:textId="77777777" w:rsidR="00AE54DF" w:rsidRDefault="00AE54DF" w:rsidP="00AE54DF">
            <w:pPr>
              <w:pStyle w:val="TableParagraph"/>
              <w:ind w:left="150"/>
            </w:pPr>
          </w:p>
          <w:p w14:paraId="7E3EEE65" w14:textId="2640E99A" w:rsidR="00AE54DF" w:rsidRDefault="00AE54DF" w:rsidP="00AE54DF">
            <w:pPr>
              <w:pStyle w:val="TableParagraph"/>
              <w:ind w:left="150"/>
            </w:pPr>
            <w:r w:rsidRPr="005D7B55">
              <w:t>The plan</w:t>
            </w:r>
            <w:r>
              <w:t xml:space="preserve"> outlines how the team incorporated the perspectives of those closest to the identified subgroup (s). </w:t>
            </w:r>
            <w:r w:rsidRPr="005D7B55">
              <w:t xml:space="preserve">  </w:t>
            </w:r>
          </w:p>
          <w:p w14:paraId="382F00D0" w14:textId="77777777" w:rsidR="00AE54DF" w:rsidRDefault="00AE54DF" w:rsidP="00F65906">
            <w:pPr>
              <w:pStyle w:val="TableParagraph"/>
              <w:ind w:left="150"/>
            </w:pPr>
          </w:p>
          <w:p w14:paraId="17B3B22A" w14:textId="1C210C6A" w:rsidR="00AE54DF" w:rsidRPr="005D7B55" w:rsidRDefault="00AE54DF" w:rsidP="00F65906">
            <w:pPr>
              <w:pStyle w:val="TableParagraph"/>
              <w:ind w:left="150"/>
            </w:pPr>
          </w:p>
        </w:tc>
        <w:tc>
          <w:tcPr>
            <w:tcW w:w="1067" w:type="dxa"/>
            <w:shd w:val="clear" w:color="auto" w:fill="EAEAEA"/>
            <w:vAlign w:val="center"/>
          </w:tcPr>
          <w:p w14:paraId="63C6C115" w14:textId="26BA855A" w:rsidR="00B31B79" w:rsidRDefault="00B31B79" w:rsidP="00F65906">
            <w:pPr>
              <w:pStyle w:val="TableParagraph"/>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c>
          <w:tcPr>
            <w:tcW w:w="1163" w:type="dxa"/>
            <w:shd w:val="clear" w:color="auto" w:fill="EAEAEA"/>
            <w:vAlign w:val="center"/>
          </w:tcPr>
          <w:p w14:paraId="5AEA3BF0" w14:textId="5C9AA150" w:rsidR="00B31B79" w:rsidRDefault="00B31B79" w:rsidP="00F65906">
            <w:pPr>
              <w:pStyle w:val="TableParagraph"/>
              <w:ind w:left="150"/>
              <w:jc w:val="center"/>
              <w:rPr>
                <w:rFonts w:ascii="MS Gothic" w:eastAsia="MS Gothic"/>
              </w:rPr>
            </w:pPr>
            <w:r>
              <w:rPr>
                <w:rFonts w:ascii="MS Gothic" w:eastAsia="MS Gothic"/>
              </w:rPr>
              <w:fldChar w:fldCharType="begin">
                <w:ffData>
                  <w:name w:val=""/>
                  <w:enabled/>
                  <w:calcOnExit w:val="0"/>
                  <w:checkBox>
                    <w:sizeAuto/>
                    <w:default w:val="0"/>
                  </w:checkBox>
                </w:ffData>
              </w:fldChar>
            </w:r>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p>
        </w:tc>
      </w:tr>
    </w:tbl>
    <w:p w14:paraId="3589B47A" w14:textId="40A8BCF7" w:rsidR="00493B1A" w:rsidRDefault="00B15301" w:rsidP="00F65906">
      <w:pPr>
        <w:pStyle w:val="Heading1"/>
        <w:spacing w:line="240" w:lineRule="auto"/>
      </w:pPr>
      <w:r>
        <w:t xml:space="preserve">Verification </w:t>
      </w:r>
      <w:r w:rsidR="00493B1A">
        <w:t>Status</w:t>
      </w:r>
      <w:r w:rsidR="00C017E2">
        <w:t xml:space="preserve"> (</w:t>
      </w:r>
      <w:r w:rsidR="003F2688">
        <w:t>To be Completed by NYSED</w:t>
      </w:r>
      <w:r w:rsidR="00C017E2">
        <w:t>)</w:t>
      </w:r>
    </w:p>
    <w:p w14:paraId="55DB075B" w14:textId="1379CF9F" w:rsidR="000906B9" w:rsidRDefault="00770E79" w:rsidP="00F65906">
      <w:pPr>
        <w:spacing w:after="0" w:line="240" w:lineRule="auto"/>
        <w:ind w:left="187"/>
      </w:pPr>
      <w:r>
        <w:rPr>
          <w:rFonts w:ascii="MS Gothic" w:eastAsia="MS Gothic" w:hAnsi="MS Gothic" w:hint="eastAsia"/>
        </w:rPr>
        <w:fldChar w:fldCharType="begin">
          <w:ffData>
            <w:name w:val="Check1"/>
            <w:enabled/>
            <w:calcOnExit w:val="0"/>
            <w:checkBox>
              <w:sizeAuto/>
              <w:default w:val="0"/>
            </w:checkBox>
          </w:ffData>
        </w:fldChar>
      </w:r>
      <w:bookmarkStart w:id="0" w:name="Check1"/>
      <w:r>
        <w:rPr>
          <w:rFonts w:ascii="MS Gothic" w:eastAsia="MS Gothic" w:hAnsi="MS Gothic" w:hint="eastAsia"/>
        </w:rPr>
        <w:instrText xml:space="preserve"> FORMCHECKBOX </w:instrText>
      </w:r>
      <w:r w:rsidR="00425BC8">
        <w:rPr>
          <w:rFonts w:ascii="MS Gothic" w:eastAsia="MS Gothic" w:hAnsi="MS Gothic"/>
        </w:rPr>
      </w:r>
      <w:r w:rsidR="00425BC8">
        <w:rPr>
          <w:rFonts w:ascii="MS Gothic" w:eastAsia="MS Gothic" w:hAnsi="MS Gothic"/>
        </w:rPr>
        <w:fldChar w:fldCharType="separate"/>
      </w:r>
      <w:r>
        <w:rPr>
          <w:rFonts w:ascii="MS Gothic" w:eastAsia="MS Gothic" w:hAnsi="MS Gothic" w:hint="eastAsia"/>
        </w:rPr>
        <w:fldChar w:fldCharType="end"/>
      </w:r>
      <w:bookmarkEnd w:id="0"/>
      <w:r>
        <w:t xml:space="preserve">  </w:t>
      </w:r>
      <w:r w:rsidR="00B15301">
        <w:t xml:space="preserve">NYSED verifies that the </w:t>
      </w:r>
      <w:r>
        <w:t>SCEP submitted</w:t>
      </w:r>
      <w:r w:rsidR="008D1C6B">
        <w:t xml:space="preserve"> meets </w:t>
      </w:r>
      <w:r w:rsidR="00B64FC0">
        <w:t xml:space="preserve">the </w:t>
      </w:r>
      <w:r w:rsidR="00B15301">
        <w:t xml:space="preserve">minimum </w:t>
      </w:r>
      <w:r w:rsidR="008D1C6B">
        <w:t xml:space="preserve">expectations </w:t>
      </w:r>
      <w:r w:rsidR="00B64FC0">
        <w:t>listed above</w:t>
      </w:r>
      <w:r>
        <w:t>.</w:t>
      </w:r>
    </w:p>
    <w:p w14:paraId="57E59B18" w14:textId="6481DEA0" w:rsidR="00770E79" w:rsidRDefault="00367BFB" w:rsidP="00F65906">
      <w:pPr>
        <w:tabs>
          <w:tab w:val="left" w:pos="0"/>
          <w:tab w:val="left" w:pos="72"/>
        </w:tabs>
        <w:spacing w:after="0" w:line="240" w:lineRule="auto"/>
        <w:ind w:left="187"/>
        <w:jc w:val="both"/>
      </w:pPr>
      <w:r>
        <w:rPr>
          <w:rFonts w:ascii="MS Gothic" w:eastAsia="MS Gothic"/>
        </w:rPr>
        <w:fldChar w:fldCharType="begin">
          <w:ffData>
            <w:name w:val="Check2"/>
            <w:enabled/>
            <w:calcOnExit w:val="0"/>
            <w:checkBox>
              <w:sizeAuto/>
              <w:default w:val="0"/>
            </w:checkBox>
          </w:ffData>
        </w:fldChar>
      </w:r>
      <w:bookmarkStart w:id="1" w:name="Check2"/>
      <w:r>
        <w:rPr>
          <w:rFonts w:ascii="MS Gothic" w:eastAsia="MS Gothic"/>
        </w:rPr>
        <w:instrText xml:space="preserve"> FORMCHECKBOX </w:instrText>
      </w:r>
      <w:r w:rsidR="00425BC8">
        <w:rPr>
          <w:rFonts w:ascii="MS Gothic" w:eastAsia="MS Gothic"/>
        </w:rPr>
      </w:r>
      <w:r w:rsidR="00425BC8">
        <w:rPr>
          <w:rFonts w:ascii="MS Gothic" w:eastAsia="MS Gothic"/>
        </w:rPr>
        <w:fldChar w:fldCharType="separate"/>
      </w:r>
      <w:r>
        <w:rPr>
          <w:rFonts w:ascii="MS Gothic" w:eastAsia="MS Gothic"/>
        </w:rPr>
        <w:fldChar w:fldCharType="end"/>
      </w:r>
      <w:bookmarkEnd w:id="1"/>
      <w:r w:rsidR="00770E79">
        <w:rPr>
          <w:rFonts w:ascii="Calibri" w:eastAsia="Times New Roman"/>
        </w:rPr>
        <w:t xml:space="preserve">  </w:t>
      </w:r>
      <w:r w:rsidR="00770E79">
        <w:t xml:space="preserve">The SCEP submitted has been returned </w:t>
      </w:r>
      <w:r w:rsidR="004F07B5">
        <w:t>to be updated</w:t>
      </w:r>
      <w:r w:rsidR="00770E79">
        <w:t xml:space="preserve">.  Please </w:t>
      </w:r>
      <w:r w:rsidR="008D1C6B">
        <w:t>provide the</w:t>
      </w:r>
      <w:r w:rsidR="00770E79">
        <w:t xml:space="preserve"> following </w:t>
      </w:r>
      <w:r w:rsidR="008D1C6B">
        <w:t>evidence</w:t>
      </w:r>
      <w:r w:rsidR="004F07B5">
        <w:t xml:space="preserve"> a</w:t>
      </w:r>
      <w:r w:rsidR="00770E79">
        <w:t>nd resubmit</w:t>
      </w:r>
      <w:r w:rsidR="0099447A">
        <w:t xml:space="preserve"> by </w:t>
      </w:r>
      <w:r w:rsidR="00EE3945">
        <w:t>&lt;Insert Date&gt;</w:t>
      </w:r>
    </w:p>
    <w:p w14:paraId="0B49DB18" w14:textId="0565B0A3" w:rsidR="00770E79" w:rsidRDefault="00770E79" w:rsidP="00F65906">
      <w:pPr>
        <w:tabs>
          <w:tab w:val="left" w:pos="0"/>
          <w:tab w:val="left" w:pos="72"/>
        </w:tabs>
        <w:spacing w:after="0" w:line="240" w:lineRule="auto"/>
        <w:jc w:val="both"/>
      </w:pPr>
    </w:p>
    <w:tbl>
      <w:tblPr>
        <w:tblStyle w:val="TableGrid"/>
        <w:tblW w:w="10652"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10652"/>
      </w:tblGrid>
      <w:tr w:rsidR="001F720D" w:rsidRPr="00357382" w14:paraId="51EEFA09" w14:textId="77777777" w:rsidTr="005D7B55">
        <w:trPr>
          <w:trHeight w:val="235"/>
        </w:trPr>
        <w:tc>
          <w:tcPr>
            <w:tcW w:w="10652" w:type="dxa"/>
          </w:tcPr>
          <w:p w14:paraId="270853AA" w14:textId="07D78D71" w:rsidR="004C5F8D" w:rsidRDefault="008D1C6B" w:rsidP="00F65906">
            <w:pPr>
              <w:tabs>
                <w:tab w:val="left" w:pos="0"/>
                <w:tab w:val="left" w:pos="72"/>
              </w:tabs>
              <w:jc w:val="both"/>
              <w:rPr>
                <w:b/>
                <w:bCs/>
              </w:rPr>
            </w:pPr>
            <w:r>
              <w:rPr>
                <w:b/>
                <w:bCs/>
              </w:rPr>
              <w:t>EVIDENCE STILL NEEDED:</w:t>
            </w:r>
          </w:p>
          <w:p w14:paraId="5B868025" w14:textId="7728AC7D" w:rsidR="00EE3C8F" w:rsidRPr="00A04627" w:rsidRDefault="00EE3C8F" w:rsidP="00F65906">
            <w:pPr>
              <w:pStyle w:val="ListParagraph"/>
              <w:numPr>
                <w:ilvl w:val="0"/>
                <w:numId w:val="2"/>
              </w:numPr>
              <w:tabs>
                <w:tab w:val="left" w:pos="0"/>
                <w:tab w:val="left" w:pos="72"/>
              </w:tabs>
              <w:jc w:val="both"/>
            </w:pPr>
          </w:p>
        </w:tc>
      </w:tr>
    </w:tbl>
    <w:p w14:paraId="257ACD40" w14:textId="77777777" w:rsidR="00770E79" w:rsidRDefault="00770E79" w:rsidP="00F65906">
      <w:pPr>
        <w:tabs>
          <w:tab w:val="left" w:pos="0"/>
          <w:tab w:val="left" w:pos="72"/>
        </w:tabs>
        <w:spacing w:after="0" w:line="240" w:lineRule="auto"/>
        <w:jc w:val="both"/>
      </w:pPr>
    </w:p>
    <w:sectPr w:rsidR="00770E79" w:rsidSect="005D7B5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9815" w14:textId="77777777" w:rsidR="006D26D6" w:rsidRDefault="006D26D6" w:rsidP="003F5122">
      <w:pPr>
        <w:spacing w:after="0" w:line="240" w:lineRule="auto"/>
      </w:pPr>
      <w:r>
        <w:separator/>
      </w:r>
    </w:p>
  </w:endnote>
  <w:endnote w:type="continuationSeparator" w:id="0">
    <w:p w14:paraId="26750ECA" w14:textId="77777777" w:rsidR="006D26D6" w:rsidRDefault="006D26D6" w:rsidP="003F5122">
      <w:pPr>
        <w:spacing w:after="0" w:line="240" w:lineRule="auto"/>
      </w:pPr>
      <w:r>
        <w:continuationSeparator/>
      </w:r>
    </w:p>
  </w:endnote>
  <w:endnote w:type="continuationNotice" w:id="1">
    <w:p w14:paraId="6E9AA8C2" w14:textId="77777777" w:rsidR="006D26D6" w:rsidRDefault="006D2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35591"/>
      <w:docPartObj>
        <w:docPartGallery w:val="Page Numbers (Bottom of Page)"/>
        <w:docPartUnique/>
      </w:docPartObj>
    </w:sdtPr>
    <w:sdtEndPr>
      <w:rPr>
        <w:noProof/>
      </w:rPr>
    </w:sdtEndPr>
    <w:sdtContent>
      <w:p w14:paraId="4772D00E" w14:textId="369B9356" w:rsidR="006C6696" w:rsidRDefault="006C66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4DBEC" w14:textId="77777777" w:rsidR="006C6696" w:rsidRDefault="006C6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8823" w14:textId="77777777" w:rsidR="006D26D6" w:rsidRDefault="006D26D6" w:rsidP="003F5122">
      <w:pPr>
        <w:spacing w:after="0" w:line="240" w:lineRule="auto"/>
      </w:pPr>
      <w:r>
        <w:separator/>
      </w:r>
    </w:p>
  </w:footnote>
  <w:footnote w:type="continuationSeparator" w:id="0">
    <w:p w14:paraId="220A6673" w14:textId="77777777" w:rsidR="006D26D6" w:rsidRDefault="006D26D6" w:rsidP="003F5122">
      <w:pPr>
        <w:spacing w:after="0" w:line="240" w:lineRule="auto"/>
      </w:pPr>
      <w:r>
        <w:continuationSeparator/>
      </w:r>
    </w:p>
  </w:footnote>
  <w:footnote w:type="continuationNotice" w:id="1">
    <w:p w14:paraId="6D57B9B0" w14:textId="77777777" w:rsidR="006D26D6" w:rsidRDefault="006D26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6FC"/>
    <w:multiLevelType w:val="hybridMultilevel"/>
    <w:tmpl w:val="FBEC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D334C"/>
    <w:multiLevelType w:val="hybridMultilevel"/>
    <w:tmpl w:val="76D2C6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93226"/>
    <w:multiLevelType w:val="hybridMultilevel"/>
    <w:tmpl w:val="55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35971"/>
    <w:multiLevelType w:val="hybridMultilevel"/>
    <w:tmpl w:val="35B8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A5ED7"/>
    <w:multiLevelType w:val="hybridMultilevel"/>
    <w:tmpl w:val="7DDE1E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B9258F"/>
    <w:multiLevelType w:val="multilevel"/>
    <w:tmpl w:val="6BD89CE6"/>
    <w:styleLink w:val="Style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F97733B"/>
    <w:multiLevelType w:val="hybridMultilevel"/>
    <w:tmpl w:val="4ED0072C"/>
    <w:lvl w:ilvl="0" w:tplc="04090001">
      <w:start w:val="1"/>
      <w:numFmt w:val="bullet"/>
      <w:lvlText w:val=""/>
      <w:lvlJc w:val="left"/>
      <w:pPr>
        <w:ind w:left="996"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4154628C"/>
    <w:multiLevelType w:val="hybridMultilevel"/>
    <w:tmpl w:val="C156AF68"/>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8" w15:restartNumberingAfterBreak="0">
    <w:nsid w:val="53B34911"/>
    <w:multiLevelType w:val="hybridMultilevel"/>
    <w:tmpl w:val="960A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1EB"/>
    <w:multiLevelType w:val="hybridMultilevel"/>
    <w:tmpl w:val="482AE088"/>
    <w:lvl w:ilvl="0" w:tplc="04090001">
      <w:start w:val="1"/>
      <w:numFmt w:val="bullet"/>
      <w:lvlText w:val=""/>
      <w:lvlJc w:val="left"/>
      <w:pPr>
        <w:ind w:left="1678" w:hanging="360"/>
      </w:pPr>
      <w:rPr>
        <w:rFonts w:ascii="Symbol" w:hAnsi="Symbol" w:hint="default"/>
      </w:rPr>
    </w:lvl>
    <w:lvl w:ilvl="1" w:tplc="04090003">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num w:numId="1" w16cid:durableId="437413943">
    <w:abstractNumId w:val="5"/>
  </w:num>
  <w:num w:numId="2" w16cid:durableId="546064675">
    <w:abstractNumId w:val="0"/>
  </w:num>
  <w:num w:numId="3" w16cid:durableId="1166478376">
    <w:abstractNumId w:val="6"/>
  </w:num>
  <w:num w:numId="4" w16cid:durableId="607784341">
    <w:abstractNumId w:val="2"/>
  </w:num>
  <w:num w:numId="5" w16cid:durableId="1045182339">
    <w:abstractNumId w:val="9"/>
  </w:num>
  <w:num w:numId="6" w16cid:durableId="1519655895">
    <w:abstractNumId w:val="7"/>
  </w:num>
  <w:num w:numId="7" w16cid:durableId="763039114">
    <w:abstractNumId w:val="3"/>
  </w:num>
  <w:num w:numId="8" w16cid:durableId="581573451">
    <w:abstractNumId w:val="8"/>
  </w:num>
  <w:num w:numId="9" w16cid:durableId="491338579">
    <w:abstractNumId w:val="1"/>
  </w:num>
  <w:num w:numId="10" w16cid:durableId="7992285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KxMLU0NzE3MgRCYyUdpeDU4uLM/DyQAqNaABDlMpAsAAAA"/>
  </w:docVars>
  <w:rsids>
    <w:rsidRoot w:val="00134CA6"/>
    <w:rsid w:val="00002A69"/>
    <w:rsid w:val="00005731"/>
    <w:rsid w:val="00005D2B"/>
    <w:rsid w:val="000152B1"/>
    <w:rsid w:val="00015D54"/>
    <w:rsid w:val="000203BF"/>
    <w:rsid w:val="00021427"/>
    <w:rsid w:val="000220C2"/>
    <w:rsid w:val="0002367E"/>
    <w:rsid w:val="00024F58"/>
    <w:rsid w:val="00034F43"/>
    <w:rsid w:val="000351E9"/>
    <w:rsid w:val="00044283"/>
    <w:rsid w:val="00045902"/>
    <w:rsid w:val="000543CE"/>
    <w:rsid w:val="00065521"/>
    <w:rsid w:val="000705BD"/>
    <w:rsid w:val="00073193"/>
    <w:rsid w:val="00074F14"/>
    <w:rsid w:val="00085B5D"/>
    <w:rsid w:val="000868B7"/>
    <w:rsid w:val="00086924"/>
    <w:rsid w:val="000906B9"/>
    <w:rsid w:val="00092B0D"/>
    <w:rsid w:val="0009335A"/>
    <w:rsid w:val="000A4289"/>
    <w:rsid w:val="000A45D5"/>
    <w:rsid w:val="000B088C"/>
    <w:rsid w:val="000B1243"/>
    <w:rsid w:val="000B212A"/>
    <w:rsid w:val="000B531C"/>
    <w:rsid w:val="000C5D9B"/>
    <w:rsid w:val="000C6983"/>
    <w:rsid w:val="000D5CF6"/>
    <w:rsid w:val="000E2869"/>
    <w:rsid w:val="000E33C1"/>
    <w:rsid w:val="000F30BD"/>
    <w:rsid w:val="000F5C45"/>
    <w:rsid w:val="00101540"/>
    <w:rsid w:val="001019E8"/>
    <w:rsid w:val="00106A70"/>
    <w:rsid w:val="00110496"/>
    <w:rsid w:val="00114CB3"/>
    <w:rsid w:val="00115BEB"/>
    <w:rsid w:val="00124049"/>
    <w:rsid w:val="00131451"/>
    <w:rsid w:val="00133039"/>
    <w:rsid w:val="001334D0"/>
    <w:rsid w:val="00134CA6"/>
    <w:rsid w:val="00134E94"/>
    <w:rsid w:val="001451DE"/>
    <w:rsid w:val="00150CC3"/>
    <w:rsid w:val="0015556E"/>
    <w:rsid w:val="001660CE"/>
    <w:rsid w:val="00170E25"/>
    <w:rsid w:val="0017726B"/>
    <w:rsid w:val="001821D9"/>
    <w:rsid w:val="001822A9"/>
    <w:rsid w:val="00183F76"/>
    <w:rsid w:val="001915B3"/>
    <w:rsid w:val="00194A1E"/>
    <w:rsid w:val="001B3E91"/>
    <w:rsid w:val="001B556B"/>
    <w:rsid w:val="001B5F14"/>
    <w:rsid w:val="001C0393"/>
    <w:rsid w:val="001C0D29"/>
    <w:rsid w:val="001C0E65"/>
    <w:rsid w:val="001D4F78"/>
    <w:rsid w:val="001E030A"/>
    <w:rsid w:val="001E1FAD"/>
    <w:rsid w:val="001E31B6"/>
    <w:rsid w:val="001F43D4"/>
    <w:rsid w:val="001F70C0"/>
    <w:rsid w:val="001F720D"/>
    <w:rsid w:val="001F7AA0"/>
    <w:rsid w:val="002029A6"/>
    <w:rsid w:val="00214179"/>
    <w:rsid w:val="00236CB0"/>
    <w:rsid w:val="0024422B"/>
    <w:rsid w:val="00252A60"/>
    <w:rsid w:val="0025578C"/>
    <w:rsid w:val="00263693"/>
    <w:rsid w:val="002726B5"/>
    <w:rsid w:val="00273CBD"/>
    <w:rsid w:val="002741F2"/>
    <w:rsid w:val="002754E3"/>
    <w:rsid w:val="00283922"/>
    <w:rsid w:val="002932EA"/>
    <w:rsid w:val="002A0AF3"/>
    <w:rsid w:val="002A3A26"/>
    <w:rsid w:val="002A7C04"/>
    <w:rsid w:val="002B2E9B"/>
    <w:rsid w:val="002C3242"/>
    <w:rsid w:val="002C5FFB"/>
    <w:rsid w:val="002E23A8"/>
    <w:rsid w:val="002E3E17"/>
    <w:rsid w:val="002E7B2A"/>
    <w:rsid w:val="00322953"/>
    <w:rsid w:val="00324940"/>
    <w:rsid w:val="00324A68"/>
    <w:rsid w:val="00325320"/>
    <w:rsid w:val="00326700"/>
    <w:rsid w:val="00326749"/>
    <w:rsid w:val="003302E5"/>
    <w:rsid w:val="00331EEB"/>
    <w:rsid w:val="00332455"/>
    <w:rsid w:val="00340118"/>
    <w:rsid w:val="003465D6"/>
    <w:rsid w:val="00346B47"/>
    <w:rsid w:val="00356CC6"/>
    <w:rsid w:val="003610D3"/>
    <w:rsid w:val="003624D3"/>
    <w:rsid w:val="00367BFB"/>
    <w:rsid w:val="003715ED"/>
    <w:rsid w:val="00371EE1"/>
    <w:rsid w:val="00373D9F"/>
    <w:rsid w:val="00376CFE"/>
    <w:rsid w:val="00383D72"/>
    <w:rsid w:val="00384922"/>
    <w:rsid w:val="003920FD"/>
    <w:rsid w:val="003923B5"/>
    <w:rsid w:val="00396009"/>
    <w:rsid w:val="0039694E"/>
    <w:rsid w:val="003975DC"/>
    <w:rsid w:val="003A182D"/>
    <w:rsid w:val="003A33EC"/>
    <w:rsid w:val="003A57C3"/>
    <w:rsid w:val="003A6D17"/>
    <w:rsid w:val="003B2457"/>
    <w:rsid w:val="003B2577"/>
    <w:rsid w:val="003B5540"/>
    <w:rsid w:val="003B6C4D"/>
    <w:rsid w:val="003B6D9C"/>
    <w:rsid w:val="003C39C0"/>
    <w:rsid w:val="003D0359"/>
    <w:rsid w:val="003D48CA"/>
    <w:rsid w:val="003E43CF"/>
    <w:rsid w:val="003E65C3"/>
    <w:rsid w:val="003F085D"/>
    <w:rsid w:val="003F11B9"/>
    <w:rsid w:val="003F2688"/>
    <w:rsid w:val="003F3FE8"/>
    <w:rsid w:val="003F5122"/>
    <w:rsid w:val="00406960"/>
    <w:rsid w:val="004114CB"/>
    <w:rsid w:val="0041184E"/>
    <w:rsid w:val="004130D8"/>
    <w:rsid w:val="00425BC8"/>
    <w:rsid w:val="004266E7"/>
    <w:rsid w:val="00427C2C"/>
    <w:rsid w:val="0043107B"/>
    <w:rsid w:val="004335BB"/>
    <w:rsid w:val="00440867"/>
    <w:rsid w:val="004424AA"/>
    <w:rsid w:val="004470B1"/>
    <w:rsid w:val="00462716"/>
    <w:rsid w:val="00472447"/>
    <w:rsid w:val="004726B9"/>
    <w:rsid w:val="00472D97"/>
    <w:rsid w:val="00475511"/>
    <w:rsid w:val="00475584"/>
    <w:rsid w:val="0047646B"/>
    <w:rsid w:val="00480C47"/>
    <w:rsid w:val="0048728E"/>
    <w:rsid w:val="0048786D"/>
    <w:rsid w:val="00490DA1"/>
    <w:rsid w:val="00493B1A"/>
    <w:rsid w:val="00495E41"/>
    <w:rsid w:val="00497BA3"/>
    <w:rsid w:val="004A105A"/>
    <w:rsid w:val="004A2FC6"/>
    <w:rsid w:val="004A7E5B"/>
    <w:rsid w:val="004B1871"/>
    <w:rsid w:val="004B48CC"/>
    <w:rsid w:val="004B696D"/>
    <w:rsid w:val="004C3006"/>
    <w:rsid w:val="004C5F8D"/>
    <w:rsid w:val="004D7DDA"/>
    <w:rsid w:val="004E1312"/>
    <w:rsid w:val="004E19BB"/>
    <w:rsid w:val="004E4655"/>
    <w:rsid w:val="004E555D"/>
    <w:rsid w:val="004E6DC9"/>
    <w:rsid w:val="004E775C"/>
    <w:rsid w:val="004E7BE0"/>
    <w:rsid w:val="004F07B5"/>
    <w:rsid w:val="004F137B"/>
    <w:rsid w:val="00500CB4"/>
    <w:rsid w:val="005037DC"/>
    <w:rsid w:val="005050A0"/>
    <w:rsid w:val="00511430"/>
    <w:rsid w:val="00523101"/>
    <w:rsid w:val="00523B71"/>
    <w:rsid w:val="005256A6"/>
    <w:rsid w:val="00531C95"/>
    <w:rsid w:val="00540B4F"/>
    <w:rsid w:val="00541034"/>
    <w:rsid w:val="00541867"/>
    <w:rsid w:val="005442DE"/>
    <w:rsid w:val="005445CC"/>
    <w:rsid w:val="00545459"/>
    <w:rsid w:val="00545E36"/>
    <w:rsid w:val="00546D18"/>
    <w:rsid w:val="0055324F"/>
    <w:rsid w:val="00562452"/>
    <w:rsid w:val="00566FAD"/>
    <w:rsid w:val="00566FE6"/>
    <w:rsid w:val="00582E38"/>
    <w:rsid w:val="005865CB"/>
    <w:rsid w:val="00594A8E"/>
    <w:rsid w:val="005A02AE"/>
    <w:rsid w:val="005A2A4E"/>
    <w:rsid w:val="005A7E55"/>
    <w:rsid w:val="005A7F64"/>
    <w:rsid w:val="005B41CC"/>
    <w:rsid w:val="005B799D"/>
    <w:rsid w:val="005C0543"/>
    <w:rsid w:val="005C29E7"/>
    <w:rsid w:val="005C7540"/>
    <w:rsid w:val="005D00FF"/>
    <w:rsid w:val="005D5FB9"/>
    <w:rsid w:val="005D7B55"/>
    <w:rsid w:val="005E63A1"/>
    <w:rsid w:val="005F25E1"/>
    <w:rsid w:val="005F6BAA"/>
    <w:rsid w:val="0060353C"/>
    <w:rsid w:val="00603940"/>
    <w:rsid w:val="00603CDF"/>
    <w:rsid w:val="006054AE"/>
    <w:rsid w:val="00614FC6"/>
    <w:rsid w:val="006218B7"/>
    <w:rsid w:val="00622F44"/>
    <w:rsid w:val="006236A7"/>
    <w:rsid w:val="006250B3"/>
    <w:rsid w:val="006352B0"/>
    <w:rsid w:val="00637169"/>
    <w:rsid w:val="00640AFE"/>
    <w:rsid w:val="00643A2C"/>
    <w:rsid w:val="00646884"/>
    <w:rsid w:val="00647C96"/>
    <w:rsid w:val="006563FC"/>
    <w:rsid w:val="00657328"/>
    <w:rsid w:val="00667480"/>
    <w:rsid w:val="0067020E"/>
    <w:rsid w:val="006736E4"/>
    <w:rsid w:val="006736FB"/>
    <w:rsid w:val="00676D95"/>
    <w:rsid w:val="00681EF8"/>
    <w:rsid w:val="00683BC4"/>
    <w:rsid w:val="00687EE1"/>
    <w:rsid w:val="006909D0"/>
    <w:rsid w:val="00692A0A"/>
    <w:rsid w:val="00695540"/>
    <w:rsid w:val="006A210A"/>
    <w:rsid w:val="006A254B"/>
    <w:rsid w:val="006A3B44"/>
    <w:rsid w:val="006A59A7"/>
    <w:rsid w:val="006B1D8D"/>
    <w:rsid w:val="006B2767"/>
    <w:rsid w:val="006B2DF1"/>
    <w:rsid w:val="006B3435"/>
    <w:rsid w:val="006B43B4"/>
    <w:rsid w:val="006B7602"/>
    <w:rsid w:val="006C167D"/>
    <w:rsid w:val="006C6696"/>
    <w:rsid w:val="006D17F9"/>
    <w:rsid w:val="006D19B4"/>
    <w:rsid w:val="006D26D6"/>
    <w:rsid w:val="006D28D6"/>
    <w:rsid w:val="006D3691"/>
    <w:rsid w:val="006D37B6"/>
    <w:rsid w:val="006D567F"/>
    <w:rsid w:val="006E1973"/>
    <w:rsid w:val="006E5403"/>
    <w:rsid w:val="006F07B2"/>
    <w:rsid w:val="006F245E"/>
    <w:rsid w:val="006F3BAE"/>
    <w:rsid w:val="006F3D84"/>
    <w:rsid w:val="00700238"/>
    <w:rsid w:val="007012C9"/>
    <w:rsid w:val="007044CF"/>
    <w:rsid w:val="00707A12"/>
    <w:rsid w:val="00710DA9"/>
    <w:rsid w:val="00724407"/>
    <w:rsid w:val="00734178"/>
    <w:rsid w:val="00735DF4"/>
    <w:rsid w:val="00743A32"/>
    <w:rsid w:val="0074519B"/>
    <w:rsid w:val="007452E3"/>
    <w:rsid w:val="0074617A"/>
    <w:rsid w:val="0075184E"/>
    <w:rsid w:val="0076219C"/>
    <w:rsid w:val="00765CFD"/>
    <w:rsid w:val="00765D4E"/>
    <w:rsid w:val="00766D27"/>
    <w:rsid w:val="00770E79"/>
    <w:rsid w:val="0077142E"/>
    <w:rsid w:val="00780C4C"/>
    <w:rsid w:val="00791D24"/>
    <w:rsid w:val="007978F4"/>
    <w:rsid w:val="007A39BF"/>
    <w:rsid w:val="007B19CB"/>
    <w:rsid w:val="007B4F0D"/>
    <w:rsid w:val="007B5BD8"/>
    <w:rsid w:val="007B6443"/>
    <w:rsid w:val="007C08DB"/>
    <w:rsid w:val="007C2E5B"/>
    <w:rsid w:val="007D4373"/>
    <w:rsid w:val="007F13F6"/>
    <w:rsid w:val="007F2BCF"/>
    <w:rsid w:val="007F3E01"/>
    <w:rsid w:val="007F7130"/>
    <w:rsid w:val="007F7FA3"/>
    <w:rsid w:val="00805A39"/>
    <w:rsid w:val="0081054C"/>
    <w:rsid w:val="00811D2B"/>
    <w:rsid w:val="008135A4"/>
    <w:rsid w:val="008138A6"/>
    <w:rsid w:val="00822525"/>
    <w:rsid w:val="00823605"/>
    <w:rsid w:val="00823E9D"/>
    <w:rsid w:val="008240C2"/>
    <w:rsid w:val="00833632"/>
    <w:rsid w:val="0083460F"/>
    <w:rsid w:val="008365B3"/>
    <w:rsid w:val="00843787"/>
    <w:rsid w:val="00846FD2"/>
    <w:rsid w:val="00855170"/>
    <w:rsid w:val="00855C7A"/>
    <w:rsid w:val="00863C46"/>
    <w:rsid w:val="00864A58"/>
    <w:rsid w:val="00864C37"/>
    <w:rsid w:val="00891BFD"/>
    <w:rsid w:val="00891E7D"/>
    <w:rsid w:val="00892EA9"/>
    <w:rsid w:val="00895448"/>
    <w:rsid w:val="008A0146"/>
    <w:rsid w:val="008A54A7"/>
    <w:rsid w:val="008B1C01"/>
    <w:rsid w:val="008B45B4"/>
    <w:rsid w:val="008B622C"/>
    <w:rsid w:val="008B6FB6"/>
    <w:rsid w:val="008B6FDC"/>
    <w:rsid w:val="008C094E"/>
    <w:rsid w:val="008C2921"/>
    <w:rsid w:val="008D1A3C"/>
    <w:rsid w:val="008D1C6B"/>
    <w:rsid w:val="008D4C4B"/>
    <w:rsid w:val="008E2CF2"/>
    <w:rsid w:val="008F00F8"/>
    <w:rsid w:val="008F2AAE"/>
    <w:rsid w:val="008F4686"/>
    <w:rsid w:val="008F7C77"/>
    <w:rsid w:val="00906531"/>
    <w:rsid w:val="009130FF"/>
    <w:rsid w:val="00923051"/>
    <w:rsid w:val="009242CF"/>
    <w:rsid w:val="009268BA"/>
    <w:rsid w:val="00932A7F"/>
    <w:rsid w:val="00944789"/>
    <w:rsid w:val="00945C7E"/>
    <w:rsid w:val="009466AD"/>
    <w:rsid w:val="00951AE6"/>
    <w:rsid w:val="00957EE5"/>
    <w:rsid w:val="00962CEC"/>
    <w:rsid w:val="00967564"/>
    <w:rsid w:val="00976211"/>
    <w:rsid w:val="009812AB"/>
    <w:rsid w:val="00992131"/>
    <w:rsid w:val="0099447A"/>
    <w:rsid w:val="009A0D0B"/>
    <w:rsid w:val="009A24D7"/>
    <w:rsid w:val="009A291E"/>
    <w:rsid w:val="009B483F"/>
    <w:rsid w:val="009B5E74"/>
    <w:rsid w:val="009C3FA1"/>
    <w:rsid w:val="009D34BD"/>
    <w:rsid w:val="009E007D"/>
    <w:rsid w:val="009F2A69"/>
    <w:rsid w:val="009F697E"/>
    <w:rsid w:val="00A04174"/>
    <w:rsid w:val="00A04627"/>
    <w:rsid w:val="00A05AF4"/>
    <w:rsid w:val="00A10C2E"/>
    <w:rsid w:val="00A125B5"/>
    <w:rsid w:val="00A137C0"/>
    <w:rsid w:val="00A169BB"/>
    <w:rsid w:val="00A31B98"/>
    <w:rsid w:val="00A440CD"/>
    <w:rsid w:val="00A4481C"/>
    <w:rsid w:val="00A448CF"/>
    <w:rsid w:val="00A56630"/>
    <w:rsid w:val="00A63979"/>
    <w:rsid w:val="00A63F1F"/>
    <w:rsid w:val="00A643E8"/>
    <w:rsid w:val="00A80999"/>
    <w:rsid w:val="00A80B82"/>
    <w:rsid w:val="00A82069"/>
    <w:rsid w:val="00A827C9"/>
    <w:rsid w:val="00A85A1D"/>
    <w:rsid w:val="00A902FC"/>
    <w:rsid w:val="00A90DF4"/>
    <w:rsid w:val="00A97AF5"/>
    <w:rsid w:val="00AA0D31"/>
    <w:rsid w:val="00AA3DA6"/>
    <w:rsid w:val="00AA6436"/>
    <w:rsid w:val="00AB0A82"/>
    <w:rsid w:val="00AB33A7"/>
    <w:rsid w:val="00AC3D21"/>
    <w:rsid w:val="00AC4A2D"/>
    <w:rsid w:val="00AC5186"/>
    <w:rsid w:val="00AC6054"/>
    <w:rsid w:val="00AD1347"/>
    <w:rsid w:val="00AD39A8"/>
    <w:rsid w:val="00AD4E2D"/>
    <w:rsid w:val="00AD6D09"/>
    <w:rsid w:val="00AD7475"/>
    <w:rsid w:val="00AE2647"/>
    <w:rsid w:val="00AE2866"/>
    <w:rsid w:val="00AE54DF"/>
    <w:rsid w:val="00AE7E92"/>
    <w:rsid w:val="00AF0457"/>
    <w:rsid w:val="00AF14B2"/>
    <w:rsid w:val="00AF7E75"/>
    <w:rsid w:val="00B010D0"/>
    <w:rsid w:val="00B119A2"/>
    <w:rsid w:val="00B15301"/>
    <w:rsid w:val="00B17E9D"/>
    <w:rsid w:val="00B31B79"/>
    <w:rsid w:val="00B33260"/>
    <w:rsid w:val="00B336FC"/>
    <w:rsid w:val="00B4646F"/>
    <w:rsid w:val="00B470AB"/>
    <w:rsid w:val="00B5699F"/>
    <w:rsid w:val="00B61F64"/>
    <w:rsid w:val="00B6477F"/>
    <w:rsid w:val="00B64FC0"/>
    <w:rsid w:val="00B6733F"/>
    <w:rsid w:val="00B8069D"/>
    <w:rsid w:val="00B94C6A"/>
    <w:rsid w:val="00B94FB8"/>
    <w:rsid w:val="00BA0B19"/>
    <w:rsid w:val="00BA5218"/>
    <w:rsid w:val="00BB23FF"/>
    <w:rsid w:val="00BB47C6"/>
    <w:rsid w:val="00BB7961"/>
    <w:rsid w:val="00BB79BC"/>
    <w:rsid w:val="00BC1E02"/>
    <w:rsid w:val="00BC32F7"/>
    <w:rsid w:val="00BC46D8"/>
    <w:rsid w:val="00BC7B36"/>
    <w:rsid w:val="00BD1988"/>
    <w:rsid w:val="00BD31B4"/>
    <w:rsid w:val="00BD79F3"/>
    <w:rsid w:val="00BE0B38"/>
    <w:rsid w:val="00BF1694"/>
    <w:rsid w:val="00BF2DD3"/>
    <w:rsid w:val="00BF39EB"/>
    <w:rsid w:val="00C00D4A"/>
    <w:rsid w:val="00C017E2"/>
    <w:rsid w:val="00C01D49"/>
    <w:rsid w:val="00C04F53"/>
    <w:rsid w:val="00C1189F"/>
    <w:rsid w:val="00C173E3"/>
    <w:rsid w:val="00C17553"/>
    <w:rsid w:val="00C23385"/>
    <w:rsid w:val="00C23AC4"/>
    <w:rsid w:val="00C24AF9"/>
    <w:rsid w:val="00C34873"/>
    <w:rsid w:val="00C40AE6"/>
    <w:rsid w:val="00C45FA2"/>
    <w:rsid w:val="00C47A98"/>
    <w:rsid w:val="00C52728"/>
    <w:rsid w:val="00C567B3"/>
    <w:rsid w:val="00C64C59"/>
    <w:rsid w:val="00C66331"/>
    <w:rsid w:val="00C66E55"/>
    <w:rsid w:val="00C76905"/>
    <w:rsid w:val="00C92513"/>
    <w:rsid w:val="00C92E7E"/>
    <w:rsid w:val="00C93B52"/>
    <w:rsid w:val="00C94F68"/>
    <w:rsid w:val="00C959A0"/>
    <w:rsid w:val="00C97AF8"/>
    <w:rsid w:val="00C97E5F"/>
    <w:rsid w:val="00CB62EC"/>
    <w:rsid w:val="00CC46A4"/>
    <w:rsid w:val="00CE6F81"/>
    <w:rsid w:val="00CF2610"/>
    <w:rsid w:val="00CF3571"/>
    <w:rsid w:val="00CF4379"/>
    <w:rsid w:val="00D01072"/>
    <w:rsid w:val="00D01890"/>
    <w:rsid w:val="00D03FCA"/>
    <w:rsid w:val="00D04129"/>
    <w:rsid w:val="00D04336"/>
    <w:rsid w:val="00D0499B"/>
    <w:rsid w:val="00D07D63"/>
    <w:rsid w:val="00D10C56"/>
    <w:rsid w:val="00D11257"/>
    <w:rsid w:val="00D12809"/>
    <w:rsid w:val="00D1477C"/>
    <w:rsid w:val="00D17CD1"/>
    <w:rsid w:val="00D2026A"/>
    <w:rsid w:val="00D2561D"/>
    <w:rsid w:val="00D372F6"/>
    <w:rsid w:val="00D43863"/>
    <w:rsid w:val="00D47E34"/>
    <w:rsid w:val="00D503F7"/>
    <w:rsid w:val="00D506BB"/>
    <w:rsid w:val="00D542F5"/>
    <w:rsid w:val="00D55020"/>
    <w:rsid w:val="00D63974"/>
    <w:rsid w:val="00D63B84"/>
    <w:rsid w:val="00D64083"/>
    <w:rsid w:val="00D64B98"/>
    <w:rsid w:val="00D6586A"/>
    <w:rsid w:val="00D65F4E"/>
    <w:rsid w:val="00D66DBD"/>
    <w:rsid w:val="00D67042"/>
    <w:rsid w:val="00D70C41"/>
    <w:rsid w:val="00D72A9B"/>
    <w:rsid w:val="00D7545B"/>
    <w:rsid w:val="00D76201"/>
    <w:rsid w:val="00D84800"/>
    <w:rsid w:val="00D84C6D"/>
    <w:rsid w:val="00D93023"/>
    <w:rsid w:val="00D96C3A"/>
    <w:rsid w:val="00DA13C0"/>
    <w:rsid w:val="00DA498C"/>
    <w:rsid w:val="00DA4B65"/>
    <w:rsid w:val="00DB1EA9"/>
    <w:rsid w:val="00DC4E43"/>
    <w:rsid w:val="00DC7194"/>
    <w:rsid w:val="00DD05C0"/>
    <w:rsid w:val="00DD1837"/>
    <w:rsid w:val="00DD66A1"/>
    <w:rsid w:val="00DE1E04"/>
    <w:rsid w:val="00DE415C"/>
    <w:rsid w:val="00DE48EC"/>
    <w:rsid w:val="00DF3D6A"/>
    <w:rsid w:val="00DF4CB7"/>
    <w:rsid w:val="00DF4D4B"/>
    <w:rsid w:val="00DF7FFC"/>
    <w:rsid w:val="00E0029A"/>
    <w:rsid w:val="00E009E8"/>
    <w:rsid w:val="00E016E4"/>
    <w:rsid w:val="00E01708"/>
    <w:rsid w:val="00E02427"/>
    <w:rsid w:val="00E049D3"/>
    <w:rsid w:val="00E064CF"/>
    <w:rsid w:val="00E125A2"/>
    <w:rsid w:val="00E22459"/>
    <w:rsid w:val="00E32B10"/>
    <w:rsid w:val="00E34C47"/>
    <w:rsid w:val="00E3774A"/>
    <w:rsid w:val="00E416BD"/>
    <w:rsid w:val="00E41C32"/>
    <w:rsid w:val="00E4273A"/>
    <w:rsid w:val="00E5438A"/>
    <w:rsid w:val="00E6097C"/>
    <w:rsid w:val="00E640AF"/>
    <w:rsid w:val="00E65AFA"/>
    <w:rsid w:val="00E716CF"/>
    <w:rsid w:val="00E8395F"/>
    <w:rsid w:val="00E90903"/>
    <w:rsid w:val="00E93560"/>
    <w:rsid w:val="00EA0E44"/>
    <w:rsid w:val="00EA4CFD"/>
    <w:rsid w:val="00EB3D0C"/>
    <w:rsid w:val="00EB3D99"/>
    <w:rsid w:val="00EC3CF4"/>
    <w:rsid w:val="00ED1224"/>
    <w:rsid w:val="00ED74BE"/>
    <w:rsid w:val="00EE3945"/>
    <w:rsid w:val="00EE3C8F"/>
    <w:rsid w:val="00EE5A1F"/>
    <w:rsid w:val="00EF07FD"/>
    <w:rsid w:val="00EF0AA3"/>
    <w:rsid w:val="00EF130B"/>
    <w:rsid w:val="00F065D3"/>
    <w:rsid w:val="00F06705"/>
    <w:rsid w:val="00F13C39"/>
    <w:rsid w:val="00F23C96"/>
    <w:rsid w:val="00F2440D"/>
    <w:rsid w:val="00F26338"/>
    <w:rsid w:val="00F33EEB"/>
    <w:rsid w:val="00F37DB3"/>
    <w:rsid w:val="00F43DD7"/>
    <w:rsid w:val="00F46F98"/>
    <w:rsid w:val="00F5375A"/>
    <w:rsid w:val="00F5616A"/>
    <w:rsid w:val="00F569D2"/>
    <w:rsid w:val="00F634D7"/>
    <w:rsid w:val="00F65906"/>
    <w:rsid w:val="00F85657"/>
    <w:rsid w:val="00F87740"/>
    <w:rsid w:val="00F93514"/>
    <w:rsid w:val="00FA3ABE"/>
    <w:rsid w:val="00FA4BBE"/>
    <w:rsid w:val="00FA5154"/>
    <w:rsid w:val="00FA6C52"/>
    <w:rsid w:val="00FA7410"/>
    <w:rsid w:val="00FB2FD5"/>
    <w:rsid w:val="00FB31FE"/>
    <w:rsid w:val="00FD1992"/>
    <w:rsid w:val="00FD1AB6"/>
    <w:rsid w:val="00FE1A76"/>
    <w:rsid w:val="00FE334B"/>
    <w:rsid w:val="00FE74C1"/>
    <w:rsid w:val="00FF0AC5"/>
    <w:rsid w:val="00FF35BA"/>
    <w:rsid w:val="00FF46E3"/>
    <w:rsid w:val="1EE6292B"/>
    <w:rsid w:val="2F90505E"/>
    <w:rsid w:val="3399EAEC"/>
    <w:rsid w:val="35084846"/>
    <w:rsid w:val="3E4687A7"/>
    <w:rsid w:val="41508F7D"/>
    <w:rsid w:val="59A28AE4"/>
    <w:rsid w:val="5E0E8160"/>
    <w:rsid w:val="6E40B5FA"/>
    <w:rsid w:val="73D348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3D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1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51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D0B"/>
    <w:rPr>
      <w:sz w:val="16"/>
      <w:szCs w:val="16"/>
    </w:rPr>
  </w:style>
  <w:style w:type="paragraph" w:styleId="CommentText">
    <w:name w:val="annotation text"/>
    <w:basedOn w:val="Normal"/>
    <w:link w:val="CommentTextChar"/>
    <w:uiPriority w:val="99"/>
    <w:unhideWhenUsed/>
    <w:rsid w:val="009A0D0B"/>
    <w:pPr>
      <w:spacing w:line="240" w:lineRule="auto"/>
    </w:pPr>
    <w:rPr>
      <w:sz w:val="20"/>
      <w:szCs w:val="20"/>
    </w:rPr>
  </w:style>
  <w:style w:type="character" w:customStyle="1" w:styleId="CommentTextChar">
    <w:name w:val="Comment Text Char"/>
    <w:basedOn w:val="DefaultParagraphFont"/>
    <w:link w:val="CommentText"/>
    <w:uiPriority w:val="99"/>
    <w:rsid w:val="009A0D0B"/>
    <w:rPr>
      <w:sz w:val="20"/>
      <w:szCs w:val="20"/>
    </w:rPr>
  </w:style>
  <w:style w:type="paragraph" w:styleId="CommentSubject">
    <w:name w:val="annotation subject"/>
    <w:basedOn w:val="CommentText"/>
    <w:next w:val="CommentText"/>
    <w:link w:val="CommentSubjectChar"/>
    <w:uiPriority w:val="99"/>
    <w:semiHidden/>
    <w:unhideWhenUsed/>
    <w:rsid w:val="009A0D0B"/>
    <w:rPr>
      <w:b/>
      <w:bCs/>
    </w:rPr>
  </w:style>
  <w:style w:type="character" w:customStyle="1" w:styleId="CommentSubjectChar">
    <w:name w:val="Comment Subject Char"/>
    <w:basedOn w:val="CommentTextChar"/>
    <w:link w:val="CommentSubject"/>
    <w:uiPriority w:val="99"/>
    <w:semiHidden/>
    <w:rsid w:val="009A0D0B"/>
    <w:rPr>
      <w:b/>
      <w:bCs/>
      <w:sz w:val="20"/>
      <w:szCs w:val="20"/>
    </w:rPr>
  </w:style>
  <w:style w:type="paragraph" w:styleId="BalloonText">
    <w:name w:val="Balloon Text"/>
    <w:basedOn w:val="Normal"/>
    <w:link w:val="BalloonTextChar"/>
    <w:uiPriority w:val="99"/>
    <w:semiHidden/>
    <w:unhideWhenUsed/>
    <w:rsid w:val="009A0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D0B"/>
    <w:rPr>
      <w:rFonts w:ascii="Segoe UI" w:hAnsi="Segoe UI" w:cs="Segoe UI"/>
      <w:sz w:val="18"/>
      <w:szCs w:val="18"/>
    </w:rPr>
  </w:style>
  <w:style w:type="paragraph" w:styleId="ListParagraph">
    <w:name w:val="List Paragraph"/>
    <w:basedOn w:val="Normal"/>
    <w:uiPriority w:val="34"/>
    <w:qFormat/>
    <w:rsid w:val="00A643E8"/>
    <w:pPr>
      <w:ind w:left="720"/>
      <w:contextualSpacing/>
    </w:pPr>
  </w:style>
  <w:style w:type="paragraph" w:styleId="Header">
    <w:name w:val="header"/>
    <w:basedOn w:val="Normal"/>
    <w:link w:val="HeaderChar"/>
    <w:uiPriority w:val="99"/>
    <w:unhideWhenUsed/>
    <w:rsid w:val="003F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122"/>
  </w:style>
  <w:style w:type="paragraph" w:styleId="Footer">
    <w:name w:val="footer"/>
    <w:basedOn w:val="Normal"/>
    <w:link w:val="FooterChar"/>
    <w:uiPriority w:val="99"/>
    <w:unhideWhenUsed/>
    <w:rsid w:val="003F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122"/>
  </w:style>
  <w:style w:type="character" w:customStyle="1" w:styleId="Heading2Char">
    <w:name w:val="Heading 2 Char"/>
    <w:basedOn w:val="DefaultParagraphFont"/>
    <w:link w:val="Heading2"/>
    <w:uiPriority w:val="9"/>
    <w:rsid w:val="003F512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F51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122"/>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3F5122"/>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3F5122"/>
    <w:rPr>
      <w:rFonts w:ascii="Arial" w:eastAsia="Arial" w:hAnsi="Arial"/>
    </w:rPr>
  </w:style>
  <w:style w:type="paragraph" w:customStyle="1" w:styleId="TableParagraph">
    <w:name w:val="Table Paragraph"/>
    <w:basedOn w:val="Normal"/>
    <w:uiPriority w:val="1"/>
    <w:qFormat/>
    <w:rsid w:val="006F245E"/>
    <w:pPr>
      <w:widowControl w:val="0"/>
      <w:spacing w:after="0" w:line="240" w:lineRule="auto"/>
    </w:pPr>
  </w:style>
  <w:style w:type="character" w:styleId="Hyperlink">
    <w:name w:val="Hyperlink"/>
    <w:basedOn w:val="DefaultParagraphFont"/>
    <w:uiPriority w:val="99"/>
    <w:unhideWhenUsed/>
    <w:rsid w:val="001F720D"/>
    <w:rPr>
      <w:color w:val="0563C1"/>
      <w:u w:val="single"/>
    </w:rPr>
  </w:style>
  <w:style w:type="character" w:styleId="UnresolvedMention">
    <w:name w:val="Unresolved Mention"/>
    <w:basedOn w:val="DefaultParagraphFont"/>
    <w:uiPriority w:val="99"/>
    <w:semiHidden/>
    <w:unhideWhenUsed/>
    <w:rsid w:val="004E1312"/>
    <w:rPr>
      <w:color w:val="605E5C"/>
      <w:shd w:val="clear" w:color="auto" w:fill="E1DFDD"/>
    </w:rPr>
  </w:style>
  <w:style w:type="numbering" w:customStyle="1" w:styleId="Style1">
    <w:name w:val="Style1"/>
    <w:uiPriority w:val="99"/>
    <w:rsid w:val="00A125B5"/>
    <w:pPr>
      <w:numPr>
        <w:numId w:val="1"/>
      </w:numPr>
    </w:pPr>
  </w:style>
  <w:style w:type="paragraph" w:styleId="Revision">
    <w:name w:val="Revision"/>
    <w:hidden/>
    <w:uiPriority w:val="99"/>
    <w:semiHidden/>
    <w:rsid w:val="00967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113">
      <w:bodyDiv w:val="1"/>
      <w:marLeft w:val="0"/>
      <w:marRight w:val="0"/>
      <w:marTop w:val="0"/>
      <w:marBottom w:val="0"/>
      <w:divBdr>
        <w:top w:val="none" w:sz="0" w:space="0" w:color="auto"/>
        <w:left w:val="none" w:sz="0" w:space="0" w:color="auto"/>
        <w:bottom w:val="none" w:sz="0" w:space="0" w:color="auto"/>
        <w:right w:val="none" w:sz="0" w:space="0" w:color="auto"/>
      </w:divBdr>
    </w:div>
    <w:div w:id="184440975">
      <w:bodyDiv w:val="1"/>
      <w:marLeft w:val="0"/>
      <w:marRight w:val="0"/>
      <w:marTop w:val="0"/>
      <w:marBottom w:val="0"/>
      <w:divBdr>
        <w:top w:val="none" w:sz="0" w:space="0" w:color="auto"/>
        <w:left w:val="none" w:sz="0" w:space="0" w:color="auto"/>
        <w:bottom w:val="none" w:sz="0" w:space="0" w:color="auto"/>
        <w:right w:val="none" w:sz="0" w:space="0" w:color="auto"/>
      </w:divBdr>
    </w:div>
    <w:div w:id="184515145">
      <w:bodyDiv w:val="1"/>
      <w:marLeft w:val="0"/>
      <w:marRight w:val="0"/>
      <w:marTop w:val="0"/>
      <w:marBottom w:val="0"/>
      <w:divBdr>
        <w:top w:val="none" w:sz="0" w:space="0" w:color="auto"/>
        <w:left w:val="none" w:sz="0" w:space="0" w:color="auto"/>
        <w:bottom w:val="none" w:sz="0" w:space="0" w:color="auto"/>
        <w:right w:val="none" w:sz="0" w:space="0" w:color="auto"/>
      </w:divBdr>
    </w:div>
    <w:div w:id="338314383">
      <w:bodyDiv w:val="1"/>
      <w:marLeft w:val="0"/>
      <w:marRight w:val="0"/>
      <w:marTop w:val="0"/>
      <w:marBottom w:val="0"/>
      <w:divBdr>
        <w:top w:val="none" w:sz="0" w:space="0" w:color="auto"/>
        <w:left w:val="none" w:sz="0" w:space="0" w:color="auto"/>
        <w:bottom w:val="none" w:sz="0" w:space="0" w:color="auto"/>
        <w:right w:val="none" w:sz="0" w:space="0" w:color="auto"/>
      </w:divBdr>
    </w:div>
    <w:div w:id="1430659315">
      <w:bodyDiv w:val="1"/>
      <w:marLeft w:val="0"/>
      <w:marRight w:val="0"/>
      <w:marTop w:val="0"/>
      <w:marBottom w:val="0"/>
      <w:divBdr>
        <w:top w:val="none" w:sz="0" w:space="0" w:color="auto"/>
        <w:left w:val="none" w:sz="0" w:space="0" w:color="auto"/>
        <w:bottom w:val="none" w:sz="0" w:space="0" w:color="auto"/>
        <w:right w:val="none" w:sz="0" w:space="0" w:color="auto"/>
      </w:divBdr>
    </w:div>
    <w:div w:id="1721057664">
      <w:bodyDiv w:val="1"/>
      <w:marLeft w:val="0"/>
      <w:marRight w:val="0"/>
      <w:marTop w:val="0"/>
      <w:marBottom w:val="0"/>
      <w:divBdr>
        <w:top w:val="none" w:sz="0" w:space="0" w:color="auto"/>
        <w:left w:val="none" w:sz="0" w:space="0" w:color="auto"/>
        <w:bottom w:val="none" w:sz="0" w:space="0" w:color="auto"/>
        <w:right w:val="none" w:sz="0" w:space="0" w:color="auto"/>
      </w:divBdr>
    </w:div>
    <w:div w:id="21267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d.gov/sites/default/files/programs/accountability/scep-rubric.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9DF8-CF3D-463D-88EB-2923D7E0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Links>
    <vt:vector size="6" baseType="variant">
      <vt:variant>
        <vt:i4>786524</vt:i4>
      </vt:variant>
      <vt:variant>
        <vt:i4>0</vt:i4>
      </vt:variant>
      <vt:variant>
        <vt:i4>0</vt:i4>
      </vt:variant>
      <vt:variant>
        <vt:i4>5</vt:i4>
      </vt:variant>
      <vt:variant>
        <vt:lpwstr>https://www.nysed.gov/sites/default/files/programs/accountability/scep-rubric.pdf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2025-03-04T13:52:00Z</dcterms:created>
  <dcterms:modified xsi:type="dcterms:W3CDTF">2025-03-04T13:52:00Z</dcterms:modified>
</cp:coreProperties>
</file>